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napToGrid w:val="0"/>
        <w:spacing w:before="120" w:after="120" w:line="240" w:lineRule="auto"/>
        <w:ind w:leftChars="0"/>
        <w:jc w:val="center"/>
        <w:outlineLvl w:val="0"/>
        <w:rPr>
          <w:rFonts w:hint="eastAsia" w:hAnsi="宋体"/>
          <w:b/>
          <w:color w:val="auto"/>
          <w:sz w:val="40"/>
          <w:szCs w:val="22"/>
          <w:highlight w:val="none"/>
        </w:rPr>
      </w:pPr>
      <w:r>
        <w:rPr>
          <w:rFonts w:hint="eastAsia" w:hAnsi="宋体"/>
          <w:b/>
          <w:color w:val="auto"/>
          <w:sz w:val="40"/>
          <w:szCs w:val="22"/>
          <w:highlight w:val="none"/>
          <w:lang w:val="en-US" w:eastAsia="zh-CN"/>
        </w:rPr>
        <w:t xml:space="preserve">第三章 </w:t>
      </w:r>
      <w:r>
        <w:rPr>
          <w:rFonts w:hint="eastAsia" w:hAnsi="宋体"/>
          <w:b/>
          <w:color w:val="auto"/>
          <w:sz w:val="40"/>
          <w:szCs w:val="22"/>
          <w:highlight w:val="none"/>
        </w:rPr>
        <w:t>采购需求</w:t>
      </w:r>
      <w:bookmarkStart w:id="0" w:name="_GoBack"/>
      <w:bookmarkEnd w:id="0"/>
    </w:p>
    <w:p>
      <w:pPr>
        <w:keepNext w:val="0"/>
        <w:keepLines w:val="0"/>
        <w:pageBreakBefore w:val="0"/>
        <w:kinsoku/>
        <w:wordWrap/>
        <w:overflowPunct/>
        <w:topLinePunct w:val="0"/>
        <w:bidi w:val="0"/>
        <w:snapToGrid w:val="0"/>
        <w:spacing w:line="324"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一、采购内容</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4343"/>
        <w:gridCol w:w="114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319" w:type="dxa"/>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项目名称</w:t>
            </w:r>
          </w:p>
        </w:tc>
        <w:tc>
          <w:tcPr>
            <w:tcW w:w="4343" w:type="dxa"/>
            <w:noWrap w:val="0"/>
            <w:vAlign w:val="center"/>
          </w:tcPr>
          <w:p>
            <w:pPr>
              <w:keepNext w:val="0"/>
              <w:keepLines w:val="0"/>
              <w:pageBreakBefore w:val="0"/>
              <w:kinsoku/>
              <w:wordWrap/>
              <w:overflowPunct/>
              <w:topLinePunct w:val="0"/>
              <w:autoSpaceDE w:val="0"/>
              <w:autoSpaceDN w:val="0"/>
              <w:bidi w:val="0"/>
              <w:adjustRightInd w:val="0"/>
              <w:spacing w:line="324"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采购内容</w:t>
            </w:r>
          </w:p>
        </w:tc>
        <w:tc>
          <w:tcPr>
            <w:tcW w:w="1148" w:type="dxa"/>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采购预算金额（万元）</w:t>
            </w:r>
          </w:p>
        </w:tc>
        <w:tc>
          <w:tcPr>
            <w:tcW w:w="979" w:type="dxa"/>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2319" w:type="dxa"/>
            <w:vMerge w:val="restart"/>
            <w:noWrap w:val="0"/>
            <w:vAlign w:val="center"/>
          </w:tcPr>
          <w:p>
            <w:pPr>
              <w:keepNext w:val="0"/>
              <w:keepLines w:val="0"/>
              <w:pageBreakBefore w:val="0"/>
              <w:kinsoku/>
              <w:wordWrap/>
              <w:overflowPunct/>
              <w:topLinePunct w:val="0"/>
              <w:autoSpaceDE w:val="0"/>
              <w:autoSpaceDN w:val="0"/>
              <w:bidi w:val="0"/>
              <w:adjustRightInd w:val="0"/>
              <w:spacing w:line="324"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衢州市交通投资集团有限公司职工食堂食材配送</w:t>
            </w:r>
          </w:p>
        </w:tc>
        <w:tc>
          <w:tcPr>
            <w:tcW w:w="4343" w:type="dxa"/>
            <w:noWrap w:val="0"/>
            <w:vAlign w:val="center"/>
          </w:tcPr>
          <w:p>
            <w:pPr>
              <w:keepNext w:val="0"/>
              <w:keepLines w:val="0"/>
              <w:pageBreakBefore w:val="0"/>
              <w:kinsoku/>
              <w:wordWrap/>
              <w:overflowPunct/>
              <w:topLinePunct w:val="0"/>
              <w:autoSpaceDE w:val="0"/>
              <w:autoSpaceDN w:val="0"/>
              <w:bidi w:val="0"/>
              <w:adjustRightInd w:val="0"/>
              <w:spacing w:line="324"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鲜活水产、新鲜肉类（猪、牛、羊肉）、禽肉、冷冻食品</w:t>
            </w:r>
            <w:r>
              <w:rPr>
                <w:rFonts w:hint="eastAsia" w:ascii="宋体" w:hAnsi="宋体" w:eastAsia="宋体" w:cs="宋体"/>
                <w:color w:val="auto"/>
                <w:sz w:val="24"/>
                <w:szCs w:val="24"/>
                <w:lang w:eastAsia="zh-CN"/>
              </w:rPr>
              <w:t>的定点采购和配送</w:t>
            </w:r>
          </w:p>
        </w:tc>
        <w:tc>
          <w:tcPr>
            <w:tcW w:w="1148" w:type="dxa"/>
            <w:vMerge w:val="restart"/>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979" w:type="dxa"/>
            <w:vMerge w:val="restart"/>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19"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textAlignment w:val="auto"/>
              <w:rPr>
                <w:rFonts w:hint="eastAsia" w:ascii="宋体" w:hAnsi="宋体" w:eastAsia="宋体" w:cs="宋体"/>
                <w:color w:val="auto"/>
                <w:sz w:val="24"/>
                <w:szCs w:val="24"/>
              </w:rPr>
            </w:pPr>
          </w:p>
        </w:tc>
        <w:tc>
          <w:tcPr>
            <w:tcW w:w="4343" w:type="dxa"/>
            <w:noWrap w:val="0"/>
            <w:vAlign w:val="center"/>
          </w:tcPr>
          <w:p>
            <w:pPr>
              <w:keepNext w:val="0"/>
              <w:keepLines w:val="0"/>
              <w:pageBreakBefore w:val="0"/>
              <w:kinsoku/>
              <w:wordWrap/>
              <w:overflowPunct/>
              <w:topLinePunct w:val="0"/>
              <w:autoSpaceDE w:val="0"/>
              <w:autoSpaceDN w:val="0"/>
              <w:bidi w:val="0"/>
              <w:adjustRightInd w:val="0"/>
              <w:spacing w:line="324"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生鲜蔬菜、水果、菌菇类</w:t>
            </w:r>
            <w:r>
              <w:rPr>
                <w:rFonts w:hint="eastAsia" w:ascii="宋体" w:hAnsi="宋体" w:eastAsia="宋体" w:cs="宋体"/>
                <w:color w:val="auto"/>
                <w:sz w:val="24"/>
                <w:szCs w:val="24"/>
                <w:lang w:eastAsia="zh-CN"/>
              </w:rPr>
              <w:t>的定点采购和配送</w:t>
            </w:r>
            <w:r>
              <w:rPr>
                <w:rFonts w:hint="eastAsia" w:ascii="宋体" w:hAnsi="宋体" w:eastAsia="宋体" w:cs="宋体"/>
                <w:color w:val="auto"/>
                <w:sz w:val="24"/>
                <w:szCs w:val="24"/>
                <w:lang w:val="zh-CN"/>
              </w:rPr>
              <w:t xml:space="preserve"> </w:t>
            </w:r>
          </w:p>
        </w:tc>
        <w:tc>
          <w:tcPr>
            <w:tcW w:w="1148"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rPr>
            </w:pPr>
          </w:p>
        </w:tc>
        <w:tc>
          <w:tcPr>
            <w:tcW w:w="979"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319"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textAlignment w:val="auto"/>
              <w:rPr>
                <w:rFonts w:hint="eastAsia" w:ascii="宋体" w:hAnsi="宋体" w:eastAsia="宋体" w:cs="宋体"/>
                <w:color w:val="auto"/>
                <w:sz w:val="24"/>
                <w:szCs w:val="24"/>
              </w:rPr>
            </w:pPr>
          </w:p>
        </w:tc>
        <w:tc>
          <w:tcPr>
            <w:tcW w:w="4343" w:type="dxa"/>
            <w:noWrap w:val="0"/>
            <w:vAlign w:val="center"/>
          </w:tcPr>
          <w:p>
            <w:pPr>
              <w:keepNext w:val="0"/>
              <w:keepLines w:val="0"/>
              <w:pageBreakBefore w:val="0"/>
              <w:kinsoku/>
              <w:wordWrap/>
              <w:overflowPunct/>
              <w:topLinePunct w:val="0"/>
              <w:autoSpaceDE w:val="0"/>
              <w:autoSpaceDN w:val="0"/>
              <w:bidi w:val="0"/>
              <w:adjustRightInd w:val="0"/>
              <w:spacing w:line="324"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大米、面粉、食用油、调味品、干货、豆制品、半成品食品、禽蛋类</w:t>
            </w:r>
            <w:r>
              <w:rPr>
                <w:rFonts w:hint="eastAsia" w:ascii="宋体" w:hAnsi="宋体" w:eastAsia="宋体" w:cs="宋体"/>
                <w:color w:val="auto"/>
                <w:sz w:val="24"/>
                <w:szCs w:val="24"/>
                <w:lang w:eastAsia="zh-CN"/>
              </w:rPr>
              <w:t>的定点采购和配送</w:t>
            </w:r>
          </w:p>
        </w:tc>
        <w:tc>
          <w:tcPr>
            <w:tcW w:w="1148"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rPr>
            </w:pPr>
          </w:p>
        </w:tc>
        <w:tc>
          <w:tcPr>
            <w:tcW w:w="979" w:type="dxa"/>
            <w:vMerge w:val="continue"/>
            <w:noWrap w:val="0"/>
            <w:vAlign w:val="center"/>
          </w:tcPr>
          <w:p>
            <w:pPr>
              <w:keepNext w:val="0"/>
              <w:keepLines w:val="0"/>
              <w:pageBreakBefore w:val="0"/>
              <w:kinsoku/>
              <w:wordWrap/>
              <w:overflowPunct/>
              <w:topLinePunct w:val="0"/>
              <w:autoSpaceDE w:val="0"/>
              <w:autoSpaceDN w:val="0"/>
              <w:bidi w:val="0"/>
              <w:adjustRightInd w:val="0"/>
              <w:spacing w:line="324" w:lineRule="auto"/>
              <w:jc w:val="center"/>
              <w:textAlignment w:val="auto"/>
              <w:rPr>
                <w:rFonts w:hint="eastAsia" w:ascii="宋体" w:hAnsi="宋体" w:eastAsia="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62" w:type="dxa"/>
            <w:gridSpan w:val="2"/>
            <w:noWrap w:val="0"/>
            <w:vAlign w:val="top"/>
          </w:tcPr>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148" w:type="dxa"/>
            <w:noWrap w:val="0"/>
            <w:vAlign w:val="top"/>
          </w:tcPr>
          <w:p>
            <w:pPr>
              <w:keepNext w:val="0"/>
              <w:keepLines w:val="0"/>
              <w:pageBreakBefore w:val="0"/>
              <w:kinsoku/>
              <w:wordWrap/>
              <w:overflowPunct/>
              <w:topLinePunct w:val="0"/>
              <w:bidi w:val="0"/>
              <w:snapToGrid w:val="0"/>
              <w:spacing w:line="324"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979" w:type="dxa"/>
            <w:vMerge w:val="continue"/>
            <w:noWrap w:val="0"/>
            <w:vAlign w:val="top"/>
          </w:tcPr>
          <w:p>
            <w:pPr>
              <w:keepNext w:val="0"/>
              <w:keepLines w:val="0"/>
              <w:pageBreakBefore w:val="0"/>
              <w:kinsoku/>
              <w:wordWrap/>
              <w:overflowPunct/>
              <w:topLinePunct w:val="0"/>
              <w:bidi w:val="0"/>
              <w:snapToGrid w:val="0"/>
              <w:spacing w:line="324" w:lineRule="auto"/>
              <w:textAlignment w:val="auto"/>
              <w:rPr>
                <w:rFonts w:hint="eastAsia" w:ascii="宋体" w:hAnsi="宋体" w:eastAsia="宋体" w:cs="宋体"/>
                <w:color w:val="auto"/>
                <w:sz w:val="24"/>
                <w:szCs w:val="24"/>
              </w:rPr>
            </w:pPr>
          </w:p>
        </w:tc>
      </w:tr>
    </w:tbl>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注：报价包括包装、运输、配送、保险及税费等一切相关费用。 </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价格确定方式按以下顺序依次进行，取到即止。</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①本次投标在市场价的基础上投报下浮率。市场价的确定方式:时令蔬菜、肉、禽蛋、豆制品、水产、半成品食品等投标人以</w:t>
      </w:r>
      <w:r>
        <w:rPr>
          <w:rFonts w:hint="eastAsia" w:ascii="宋体" w:hAnsi="宋体" w:eastAsia="宋体" w:cs="宋体"/>
          <w:color w:val="auto"/>
          <w:sz w:val="24"/>
          <w:szCs w:val="24"/>
          <w:lang w:eastAsia="zh-CN"/>
        </w:rPr>
        <w:t>衢州市发展和改革委员会</w:t>
      </w:r>
      <w:r>
        <w:rPr>
          <w:rFonts w:hint="eastAsia" w:ascii="宋体" w:hAnsi="宋体" w:eastAsia="宋体" w:cs="宋体"/>
          <w:color w:val="auto"/>
          <w:sz w:val="24"/>
          <w:szCs w:val="24"/>
        </w:rPr>
        <w:t>（http://fgw.qz.gov.cn/）价费管理栏目，每月9日、24日公布的“菜篮子价格公示表”上的南湖菜场、荷花菜场、松园菜场三个菜场的最低价格作为结算依据。米面油调味品</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投标人以</w:t>
      </w:r>
      <w:r>
        <w:rPr>
          <w:rFonts w:hint="eastAsia" w:ascii="宋体" w:hAnsi="宋体" w:eastAsia="宋体" w:cs="宋体"/>
          <w:color w:val="auto"/>
          <w:sz w:val="24"/>
          <w:szCs w:val="24"/>
          <w:lang w:eastAsia="zh-CN"/>
        </w:rPr>
        <w:t>衢州市发展和改革委员会</w:t>
      </w:r>
      <w:r>
        <w:rPr>
          <w:rFonts w:hint="eastAsia" w:ascii="宋体" w:hAnsi="宋体" w:eastAsia="宋体" w:cs="宋体"/>
          <w:color w:val="auto"/>
          <w:sz w:val="24"/>
          <w:szCs w:val="24"/>
        </w:rPr>
        <w:t>（http://fgw.qz.gov.cn/）价费管理栏目，每月9日、24日公布的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衢州市区超市部分民生商品价格信息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衢州市区大型超市（大润发、东方总店、永辉）中</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家零售价的最低价作为结算依据</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②在衢州市发展和改革委员会（http://fgw.qz.gov.cn/）价费管理栏目的“菜篮子价格公示表”目录中没有的菜品，由采购人食堂管理部门每月9日、24日至南湖菜场、荷花菜场、松园菜场三个菜场询价，以该菜品在</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个菜场的最低价作为结算依据。</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③以上无价格信息的，则由采购方的采购部门从衢州市区大型超市（大润发、东方总店、永辉）中</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 xml:space="preserve">家零售价的最低价作为结算依据； </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以上①－③</w:t>
      </w:r>
      <w:r>
        <w:rPr>
          <w:rFonts w:hint="eastAsia" w:ascii="宋体" w:hAnsi="宋体" w:eastAsia="宋体" w:cs="宋体"/>
          <w:color w:val="auto"/>
          <w:sz w:val="24"/>
          <w:szCs w:val="24"/>
        </w:rPr>
        <w:t>均无法询到价格</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采取电话询价。</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）供货价格每半月确定一次，以市场价×(1-下浮率)作为</w:t>
      </w:r>
      <w:r>
        <w:rPr>
          <w:rFonts w:hint="eastAsia" w:ascii="宋体" w:hAnsi="宋体" w:eastAsia="宋体" w:cs="宋体"/>
          <w:color w:val="auto"/>
          <w:sz w:val="24"/>
          <w:szCs w:val="24"/>
          <w:lang w:eastAsia="zh-CN"/>
        </w:rPr>
        <w:t>供</w:t>
      </w:r>
      <w:r>
        <w:rPr>
          <w:rFonts w:hint="eastAsia" w:ascii="宋体" w:hAnsi="宋体" w:eastAsia="宋体" w:cs="宋体"/>
          <w:color w:val="auto"/>
          <w:sz w:val="24"/>
          <w:szCs w:val="24"/>
        </w:rPr>
        <w:t>货价格，其中每个月9日确定上半个月的结算价格，24日确定下半个月的结算价格。结算价采用四舍五入，小数点后保留两位。</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）货款每月结算一次，先供货后结算，结算时间为次月26-28日(节假日顺延)。</w:t>
      </w:r>
    </w:p>
    <w:p>
      <w:pPr>
        <w:keepNext w:val="0"/>
        <w:keepLines w:val="0"/>
        <w:pageBreakBefore w:val="0"/>
        <w:kinsoku/>
        <w:wordWrap/>
        <w:overflowPunct/>
        <w:topLinePunct w:val="0"/>
        <w:bidi w:val="0"/>
        <w:snapToGrid w:val="0"/>
        <w:spacing w:line="324"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、供应物品的报价</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(一)投标人可以根据衢州市发展和改革委员会（http://fgw.qz.gov.cn/）价</w:t>
      </w:r>
      <w:r>
        <w:rPr>
          <w:rFonts w:hint="eastAsia" w:ascii="宋体" w:hAnsi="宋体" w:eastAsia="宋体" w:cs="宋体"/>
          <w:color w:val="auto"/>
          <w:sz w:val="24"/>
          <w:szCs w:val="24"/>
          <w:lang w:eastAsia="zh-CN"/>
        </w:rPr>
        <w:t>费</w:t>
      </w:r>
      <w:r>
        <w:rPr>
          <w:rFonts w:hint="eastAsia" w:ascii="宋体" w:hAnsi="宋体" w:eastAsia="宋体" w:cs="宋体"/>
          <w:color w:val="auto"/>
          <w:sz w:val="24"/>
          <w:szCs w:val="24"/>
        </w:rPr>
        <w:t>管</w:t>
      </w:r>
      <w:r>
        <w:rPr>
          <w:rFonts w:hint="eastAsia" w:ascii="宋体" w:hAnsi="宋体" w:eastAsia="宋体" w:cs="宋体"/>
          <w:color w:val="auto"/>
          <w:sz w:val="24"/>
          <w:szCs w:val="24"/>
          <w:lang w:eastAsia="zh-CN"/>
        </w:rPr>
        <w:t>理</w:t>
      </w:r>
      <w:r>
        <w:rPr>
          <w:rFonts w:hint="eastAsia" w:ascii="宋体" w:hAnsi="宋体" w:eastAsia="宋体" w:cs="宋体"/>
          <w:color w:val="auto"/>
          <w:sz w:val="24"/>
          <w:szCs w:val="24"/>
        </w:rPr>
        <w:t>栏目公布的“</w:t>
      </w:r>
      <w:r>
        <w:rPr>
          <w:rFonts w:hint="eastAsia" w:ascii="宋体" w:hAnsi="宋体" w:eastAsia="宋体" w:cs="宋体"/>
          <w:color w:val="auto"/>
          <w:sz w:val="24"/>
          <w:szCs w:val="24"/>
          <w:lang w:eastAsia="zh-CN"/>
        </w:rPr>
        <w:t>民生价格</w:t>
      </w:r>
      <w:r>
        <w:rPr>
          <w:rFonts w:hint="eastAsia" w:ascii="宋体" w:hAnsi="宋体" w:eastAsia="宋体" w:cs="宋体"/>
          <w:color w:val="auto"/>
          <w:sz w:val="24"/>
          <w:szCs w:val="24"/>
        </w:rPr>
        <w:t>”的最低价格测算投报下浮率%。</w:t>
      </w:r>
    </w:p>
    <w:p>
      <w:pPr>
        <w:keepNext w:val="0"/>
        <w:keepLines w:val="0"/>
        <w:pageBreakBefore w:val="0"/>
        <w:kinsoku/>
        <w:wordWrap/>
        <w:overflowPunct/>
        <w:topLinePunct w:val="0"/>
        <w:bidi w:val="0"/>
        <w:snapToGrid w:val="0"/>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rPr>
        <w:t>(二)投标人根据开标一览表，对</w:t>
      </w:r>
      <w:r>
        <w:rPr>
          <w:rFonts w:hint="eastAsia" w:ascii="宋体" w:hAnsi="宋体" w:eastAsia="宋体" w:cs="宋体"/>
          <w:color w:val="auto"/>
          <w:sz w:val="24"/>
          <w:szCs w:val="24"/>
          <w:lang w:eastAsia="zh-CN"/>
        </w:rPr>
        <w:t>投标项目进行</w:t>
      </w:r>
      <w:r>
        <w:rPr>
          <w:rFonts w:hint="eastAsia" w:ascii="宋体" w:hAnsi="宋体" w:eastAsia="宋体" w:cs="宋体"/>
          <w:color w:val="auto"/>
          <w:sz w:val="24"/>
          <w:szCs w:val="24"/>
        </w:rPr>
        <w:t>报价，由</w:t>
      </w:r>
      <w:r>
        <w:rPr>
          <w:rFonts w:hint="eastAsia" w:ascii="宋体" w:hAnsi="宋体" w:eastAsia="宋体" w:cs="宋体"/>
          <w:color w:val="auto"/>
          <w:sz w:val="24"/>
          <w:szCs w:val="24"/>
          <w:lang w:val="en-US" w:eastAsia="zh-CN"/>
        </w:rPr>
        <w:t>评标委员会</w:t>
      </w:r>
      <w:r>
        <w:rPr>
          <w:rFonts w:hint="eastAsia" w:ascii="宋体" w:hAnsi="宋体" w:eastAsia="宋体" w:cs="宋体"/>
          <w:color w:val="auto"/>
          <w:sz w:val="24"/>
          <w:szCs w:val="24"/>
        </w:rPr>
        <w:t>及工作人员按评分标准，计算确定商务分。</w:t>
      </w:r>
    </w:p>
    <w:p>
      <w:pPr>
        <w:pStyle w:val="4"/>
        <w:keepNext w:val="0"/>
        <w:keepLines w:val="0"/>
        <w:pageBreakBefore w:val="0"/>
        <w:kinsoku/>
        <w:wordWrap/>
        <w:overflowPunct/>
        <w:topLinePunct w:val="0"/>
        <w:bidi w:val="0"/>
        <w:spacing w:before="0" w:beforeAutospacing="0" w:after="0" w:afterAutospacing="0" w:line="324" w:lineRule="auto"/>
        <w:ind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三、货物的质量要求</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1.中标人向采购人提供的商品质量必须符合《食品安全法》和国家有关食品卫生法规标准。</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2.豆制品、半成品及冻品必须具有“SC”食品质量安全认证。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3.禽蛋、蔬菜、水产必须保证新鲜，且符合食品卫生安全法要求，蔬菜类必须有农药监测报告。</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4.米、面制品、油货物必须符合卫生,不得有腐烂、变质、油脂酸败、霉变、生虫、污秽不结、混有异物或者其他感官性状异常,并可能对人体健康有害的物质。</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5.肉制品类必须是经过有关部门质检合格且在保质期以内，经检测部门检验合格并盖章。随货需提供相关合格证。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6.成品包装的货物须注有产品名称、制造厂名、厂址、净重、生产许可证号、批号、生产日期、保质期、执行标准号及规格等，包装应完好、无损坏、无挤压，符合国家有关产品质量法规要求。</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7.牛奶所提供的物品指标要符合国家强制性标准要求,食品类产品,投标人必清晰地列出产品品牌,型号、包装类型、包装方式、包装净重量等相关参数,且牛奶包装箱上必须贴有“SC”标志。</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8.瓜果必须是优质货品,不得含有残留农药或污染物,中标人必须保证所供应的瓜果符合卫生标准,卫生指标应符合我国无公害瓜果上的卫生指标规定,同时承担因所供瓜果问题引起的一切事故后果。</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散装产品严禁冷热混存，以免发生产品变质；不能掺杂使假，应表里如一，应符合散装产品的相关卫生及质量要求；鲜活产品保证新鲜、无泥污，规格符合采购人要求，对药性、肥气未脱的蔬菜严禁供给采购人。</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10.中标人不得提供以下产品: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腐败变质、油脂酸败、霉变、生虫、污秽不洁、混有异物或者其他感官性状异常、含有毒有害物质或者被有害物质污染，可能对人体健康有害的产品；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(2)含有致病性寄生虫，微生物或者微生物含量超过国家限定标准的；</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(3)未经动物检疫部门检疫，检验或者检疫不合格的肉类及其制品；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(4)病死、毒死或者死因不明的禽、畜、兽、水产动物及其制品；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(5)掺假、掺杂、伪造，影响营养、卫生的；</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(6)用非食品原料加工的，加入非食品用化学物质或者将非食品当作食品的；</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(7)保质期剩余时间低于保质期的3分之1时间的或不符合食品标签规定的定型包装食品。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11.中标人所供货物不得缺斤短两，发现一次扣除10%的履约保证金，超过3次，取消供货资格并扣罚全部履约保证金。</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12.中标人必须讲究诚信和职业道德，所供货物不得以次充好，不得将不合格品参杂其中。一经发现，取消供货资格并扣罚全部履约保证金。</w:t>
      </w:r>
    </w:p>
    <w:p>
      <w:pPr>
        <w:pStyle w:val="7"/>
        <w:keepNext w:val="0"/>
        <w:keepLines w:val="0"/>
        <w:pageBreakBefore w:val="0"/>
        <w:shd w:val="clear" w:color="auto" w:fill="FFFFFF"/>
        <w:kinsoku/>
        <w:wordWrap/>
        <w:overflowPunct/>
        <w:topLinePunct w:val="0"/>
        <w:bidi w:val="0"/>
        <w:spacing w:before="0" w:beforeAutospacing="0" w:after="0" w:afterAutospacing="0" w:line="324" w:lineRule="auto"/>
        <w:ind w:firstLine="458" w:firstLineChars="200"/>
        <w:textAlignment w:val="auto"/>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t>四、配送及验收要求</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1．采购人提前1天将次日采购清单以书面形式或者电话通知中标人,中标人收到订货通知后,须在采购人要求的时间节点前完成供货。</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2.个别品种因缺货而无法提供的,中标人应在接到订单当日内及时告知采购人并协商好解决方法。</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3.采购人临时急需中标人供货,中标人应按要求在30分钟内作出响应并配送到位。</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4.残次品的替换须在接到替换通知后30分钟内送达。</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5.送货车辆须使用专用车辆进行配送,禁止有毒有害有异味的物品混装,送货时不得有污染事故发生。配送车辆应符合相关卫生要求,并定期对车辆进行清洁消毒。</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6.中标人将订单内所需产品送到采购人指定地点后,双方就产品的品种、质量、数量、进行确认后填写交货清单,经验收合格后完成交付。</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7.所有品种按除盛装器具净重过磅,重量以双方核准的净重过磅数为准双方签字确认作为结算凭证。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8.配送人员应具备有效的健康合格证明,配送人员更换须事先征得采购人审查同意并提供健康体检证复印件备案。</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9.中标人应按国家质量卫生标准供给采购人所需的蔬菜，采购人对送达的蔬菜当场进行抽查、验收。</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10.对于禽、畜、兽、水产动物等货物，中标人按照采购人要求进行粗加工处理的，中标人必须提供该批次产品的合格证。</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11.对于部分蔬菜类配送须按采购人要求进行去皮、无污泥等净菜处理。</w:t>
      </w:r>
    </w:p>
    <w:p>
      <w:pPr>
        <w:keepNext w:val="0"/>
        <w:keepLines w:val="0"/>
        <w:pageBreakBefore w:val="0"/>
        <w:kinsoku/>
        <w:wordWrap/>
        <w:overflowPunct/>
        <w:topLinePunct w:val="0"/>
        <w:bidi w:val="0"/>
        <w:spacing w:line="324"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五、其他要求</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1.中标人不得超越范围以外供货，不得搞商品搭售；</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2.中标人不得开具虚假税务发票；</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3.中标人不得向采购单位的工作人员馈赠任何物品、现金等；</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4.中标人应积极配合采购人做好食堂生鲜蔬菜类定点供应的采购、验收、退还等工作；</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5.不论以何种形式进行供货，中标人都必须按照其在投标文件中做出的服务承诺履行相关义务；</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6.物品具体需求量及品种以实际供应前一天采购人通知的为准。</w:t>
      </w:r>
    </w:p>
    <w:p>
      <w:pPr>
        <w:pStyle w:val="7"/>
        <w:keepNext w:val="0"/>
        <w:keepLines w:val="0"/>
        <w:pageBreakBefore w:val="0"/>
        <w:shd w:val="clear" w:color="auto" w:fill="FFFFFF"/>
        <w:kinsoku/>
        <w:wordWrap/>
        <w:overflowPunct/>
        <w:topLinePunct w:val="0"/>
        <w:bidi w:val="0"/>
        <w:spacing w:before="0" w:beforeAutospacing="0" w:after="0" w:afterAutospacing="0" w:line="324" w:lineRule="auto"/>
        <w:ind w:firstLine="482" w:firstLineChars="200"/>
        <w:textAlignment w:val="auto"/>
        <w:rPr>
          <w:rFonts w:hint="eastAsia" w:ascii="宋体" w:hAnsi="宋体" w:eastAsia="宋体" w:cs="宋体"/>
          <w:b/>
          <w:color w:val="auto"/>
          <w:spacing w:val="-6"/>
          <w:sz w:val="24"/>
          <w:szCs w:val="24"/>
        </w:rPr>
      </w:pPr>
      <w:r>
        <w:rPr>
          <w:rFonts w:hint="eastAsia" w:ascii="宋体" w:hAnsi="宋体" w:eastAsia="宋体" w:cs="宋体"/>
          <w:b/>
          <w:color w:val="auto"/>
          <w:sz w:val="24"/>
          <w:szCs w:val="24"/>
        </w:rPr>
        <w:t>六、</w:t>
      </w:r>
      <w:r>
        <w:rPr>
          <w:rFonts w:hint="eastAsia" w:ascii="宋体" w:hAnsi="宋体" w:eastAsia="宋体" w:cs="宋体"/>
          <w:b/>
          <w:color w:val="auto"/>
          <w:spacing w:val="-6"/>
          <w:sz w:val="24"/>
          <w:szCs w:val="24"/>
        </w:rPr>
        <w:t>安全责任</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1、若因中标人原因，造成采购人场所内公共性食品安全危机的，中标人应负全部责任，并承担由此造成的经济损失及可能发生的刑事责任。</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2、中标人在供货期间，各类产品因不符合要求，出现质量问题负责退换货。问题严重的将终止供货，并由中标人承担由此造成的全部经济损失及责任。</w:t>
      </w:r>
    </w:p>
    <w:p>
      <w:pPr>
        <w:keepNext w:val="0"/>
        <w:keepLines w:val="0"/>
        <w:pageBreakBefore w:val="0"/>
        <w:kinsoku/>
        <w:wordWrap/>
        <w:overflowPunct/>
        <w:topLinePunct w:val="0"/>
        <w:bidi w:val="0"/>
        <w:spacing w:line="324"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3、不论以何种形式进行供货，中标人都必须按照其在投标文件中做出的服务承诺履行相关义务。</w:t>
      </w:r>
    </w:p>
    <w:p>
      <w:pPr>
        <w:pStyle w:val="2"/>
        <w:ind w:firstLine="480"/>
        <w:rPr>
          <w:rFonts w:hint="default"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七、配送期限</w:t>
      </w:r>
    </w:p>
    <w:p>
      <w:pPr>
        <w:keepNext w:val="0"/>
        <w:keepLines w:val="0"/>
        <w:pageBreakBefore w:val="0"/>
        <w:kinsoku/>
        <w:wordWrap/>
        <w:overflowPunct/>
        <w:topLinePunct w:val="0"/>
        <w:bidi w:val="0"/>
        <w:spacing w:line="324"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本项目配送期限：1年。合同条款不变的可续签一年，配送服务的期限原则上不超过三年。(续签条件：需通过采购人考核后并经双方协商同意，方可续签）</w:t>
      </w:r>
    </w:p>
    <w:p>
      <w:pPr>
        <w:numPr>
          <w:ilvl w:val="0"/>
          <w:numId w:val="0"/>
        </w:numPr>
        <w:spacing w:line="360" w:lineRule="auto"/>
        <w:ind w:leftChars="0"/>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06744EEA"/>
    <w:rsid w:val="06744EEA"/>
    <w:rsid w:val="7425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99"/>
    <w:pPr>
      <w:spacing w:beforeLines="50" w:afterLines="50" w:line="400" w:lineRule="atLeast"/>
    </w:pPr>
    <w:rPr>
      <w:rFonts w:ascii="宋体" w:hAnsi="Courier New"/>
      <w:sz w:val="24"/>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paragraph" w:customStyle="1" w:styleId="7">
    <w:name w:val="reader-word-layer reader-word-s2-7"/>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2762</Words>
  <Characters>2907</Characters>
  <Lines>0</Lines>
  <Paragraphs>0</Paragraphs>
  <TotalTime>0</TotalTime>
  <ScaleCrop>false</ScaleCrop>
  <LinksUpToDate>false</LinksUpToDate>
  <CharactersWithSpaces>2913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2022-07-01T09:32:00Z</dcterms:created>
  <dc:creator>vicy_YY</dc:creator>
  <cp:lastModifiedBy>vicy_YY</cp:lastModifiedBy>
  <dcterms:modified xsi:type="dcterms:W3CDTF">2022-07-01T09:34:02Z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0BCF6A8BF44C407F82D34F4489F72926</vt:lpwstr>
  </property>
</Properties>
</file>