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napToGrid w:val="0"/>
        <w:spacing w:before="120" w:after="120" w:line="240" w:lineRule="auto"/>
        <w:jc w:val="center"/>
        <w:outlineLvl w:val="0"/>
        <w:rPr>
          <w:rFonts w:hint="eastAsia" w:hAnsi="宋体"/>
          <w:b/>
          <w:color w:val="auto"/>
          <w:sz w:val="40"/>
          <w:szCs w:val="22"/>
          <w:highlight w:val="none"/>
        </w:rPr>
      </w:pPr>
      <w:bookmarkStart w:id="17" w:name="_GoBack"/>
      <w:bookmarkEnd w:id="17"/>
      <w:r>
        <w:rPr>
          <w:rFonts w:hint="eastAsia" w:hAnsi="宋体"/>
          <w:b/>
          <w:color w:val="auto"/>
          <w:sz w:val="40"/>
          <w:szCs w:val="22"/>
          <w:highlight w:val="none"/>
        </w:rPr>
        <w:t>第三章</w:t>
      </w:r>
      <w:r>
        <w:rPr>
          <w:rFonts w:hAnsi="宋体"/>
          <w:b/>
          <w:color w:val="auto"/>
          <w:sz w:val="40"/>
          <w:szCs w:val="22"/>
          <w:highlight w:val="none"/>
        </w:rPr>
        <w:t xml:space="preserve">  </w:t>
      </w:r>
      <w:r>
        <w:rPr>
          <w:rFonts w:hint="eastAsia" w:hAnsi="宋体"/>
          <w:b/>
          <w:color w:val="auto"/>
          <w:sz w:val="40"/>
          <w:szCs w:val="22"/>
          <w:highlight w:val="none"/>
        </w:rPr>
        <w:t>采购需求</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标项一：正面吊运起重机</w:t>
      </w:r>
    </w:p>
    <w:p>
      <w:pPr>
        <w:spacing w:line="360" w:lineRule="auto"/>
        <w:ind w:firstLine="721" w:firstLineChars="300"/>
        <w:rPr>
          <w:rFonts w:hint="default"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一、采购内容及技术参数</w:t>
      </w:r>
    </w:p>
    <w:p>
      <w:pPr>
        <w:spacing w:line="360" w:lineRule="auto"/>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1.1 主要参数</w:t>
      </w:r>
    </w:p>
    <w:tbl>
      <w:tblPr>
        <w:tblStyle w:val="7"/>
        <w:tblW w:w="0" w:type="auto"/>
        <w:jc w:val="center"/>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35"/>
        <w:gridCol w:w="2524"/>
        <w:gridCol w:w="5797"/>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PrEx>
        <w:trPr>
          <w:trHeight w:val="505" w:hRule="atLeast"/>
          <w:jc w:val="center"/>
        </w:trPr>
        <w:tc>
          <w:tcPr>
            <w:tcW w:w="735" w:type="dxa"/>
            <w:tcBorders>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序号</w:t>
            </w:r>
          </w:p>
        </w:tc>
        <w:tc>
          <w:tcPr>
            <w:tcW w:w="2524" w:type="dxa"/>
            <w:tcBorders>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技术标准</w:t>
            </w:r>
          </w:p>
        </w:tc>
        <w:tc>
          <w:tcPr>
            <w:tcW w:w="5797" w:type="dxa"/>
            <w:tcBorders>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技术参数</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PrEx>
        <w:trPr>
          <w:trHeight w:val="1289" w:hRule="atLeast"/>
          <w:jc w:val="center"/>
        </w:trPr>
        <w:tc>
          <w:tcPr>
            <w:tcW w:w="735" w:type="dxa"/>
            <w:tcBorders>
              <w:top w:val="single" w:color="auto" w:sz="4" w:space="0"/>
              <w:left w:val="single" w:color="auto" w:sz="4" w:space="0"/>
              <w:bottom w:val="single" w:color="auto" w:sz="4" w:space="0"/>
              <w:right w:val="single" w:color="auto" w:sz="4" w:space="0"/>
            </w:tcBorders>
            <w:noWrap w:val="0"/>
            <w:vAlign w:val="center"/>
          </w:tcPr>
          <w:p>
            <w:pPr>
              <w:numPr>
                <w:ilvl w:val="0"/>
                <w:numId w:val="1"/>
              </w:numPr>
              <w:spacing w:line="360" w:lineRule="auto"/>
              <w:ind w:left="425" w:leftChars="0" w:hanging="425" w:firstLineChars="0"/>
              <w:jc w:val="center"/>
              <w:rPr>
                <w:rFonts w:hint="eastAsia" w:ascii="宋体" w:hAnsi="宋体" w:eastAsia="宋体" w:cs="宋体"/>
                <w:color w:val="auto"/>
                <w:sz w:val="24"/>
                <w:szCs w:val="24"/>
              </w:rPr>
            </w:pPr>
          </w:p>
        </w:tc>
        <w:tc>
          <w:tcPr>
            <w:tcW w:w="25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b/>
                <w:bCs/>
                <w:color w:val="auto"/>
                <w:sz w:val="24"/>
                <w:szCs w:val="24"/>
              </w:rPr>
            </w:pPr>
            <w:r>
              <w:rPr>
                <w:rFonts w:hint="eastAsia" w:ascii="宋体" w:hAnsi="宋体" w:cs="宋体"/>
                <w:color w:val="auto"/>
                <w:sz w:val="24"/>
                <w:szCs w:val="24"/>
                <w:highlight w:val="none"/>
                <w:lang w:val="zh-CN"/>
              </w:rPr>
              <w:t>▲</w:t>
            </w:r>
            <w:r>
              <w:rPr>
                <w:rFonts w:hint="eastAsia" w:ascii="宋体" w:hAnsi="宋体" w:eastAsia="宋体" w:cs="宋体"/>
                <w:b/>
                <w:bCs/>
                <w:color w:val="auto"/>
                <w:sz w:val="24"/>
                <w:szCs w:val="24"/>
              </w:rPr>
              <w:t>吊具下额定起重量/载荷中心</w:t>
            </w:r>
          </w:p>
        </w:tc>
        <w:tc>
          <w:tcPr>
            <w:tcW w:w="579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≥45T</w:t>
            </w:r>
            <w:r>
              <w:rPr>
                <w:rFonts w:hint="eastAsia" w:ascii="宋体" w:hAnsi="宋体" w:eastAsia="宋体" w:cs="宋体"/>
                <w:b/>
                <w:bCs/>
                <w:color w:val="auto"/>
                <w:sz w:val="24"/>
                <w:szCs w:val="24"/>
                <w:lang w:val="en-US" w:eastAsia="zh-CN"/>
              </w:rPr>
              <w:t>且</w:t>
            </w:r>
            <w:r>
              <w:rPr>
                <w:rFonts w:hint="eastAsia" w:ascii="宋体" w:hAnsi="宋体" w:eastAsia="宋体" w:cs="宋体"/>
                <w:b/>
                <w:bCs/>
                <w:color w:val="auto"/>
                <w:sz w:val="24"/>
                <w:szCs w:val="24"/>
              </w:rPr>
              <w:t>≥1900mm 第一排一至四层箱</w:t>
            </w:r>
          </w:p>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≥40T</w:t>
            </w:r>
            <w:r>
              <w:rPr>
                <w:rFonts w:hint="eastAsia" w:ascii="宋体" w:hAnsi="宋体" w:eastAsia="宋体" w:cs="宋体"/>
                <w:b/>
                <w:bCs/>
                <w:color w:val="auto"/>
                <w:sz w:val="24"/>
                <w:szCs w:val="24"/>
                <w:lang w:val="en-US" w:eastAsia="zh-CN"/>
              </w:rPr>
              <w:t>且</w:t>
            </w:r>
            <w:r>
              <w:rPr>
                <w:rFonts w:hint="eastAsia" w:ascii="宋体" w:hAnsi="宋体" w:eastAsia="宋体" w:cs="宋体"/>
                <w:b/>
                <w:bCs/>
                <w:color w:val="auto"/>
                <w:sz w:val="24"/>
                <w:szCs w:val="24"/>
              </w:rPr>
              <w:t>≥1900mm 第一排五层箱及最大起升高度</w:t>
            </w:r>
          </w:p>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≥30T</w:t>
            </w:r>
            <w:r>
              <w:rPr>
                <w:rFonts w:hint="eastAsia" w:ascii="宋体" w:hAnsi="宋体" w:eastAsia="宋体" w:cs="宋体"/>
                <w:b/>
                <w:bCs/>
                <w:color w:val="auto"/>
                <w:sz w:val="24"/>
                <w:szCs w:val="24"/>
                <w:lang w:val="en-US" w:eastAsia="zh-CN"/>
              </w:rPr>
              <w:t>且</w:t>
            </w:r>
            <w:r>
              <w:rPr>
                <w:rFonts w:hint="eastAsia" w:ascii="宋体" w:hAnsi="宋体" w:eastAsia="宋体" w:cs="宋体"/>
                <w:b/>
                <w:bCs/>
                <w:color w:val="auto"/>
                <w:sz w:val="24"/>
                <w:szCs w:val="24"/>
              </w:rPr>
              <w:t>≥3800mm 第二排一至五层箱</w:t>
            </w:r>
          </w:p>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≥15T</w:t>
            </w:r>
            <w:r>
              <w:rPr>
                <w:rFonts w:hint="eastAsia" w:ascii="宋体" w:hAnsi="宋体" w:eastAsia="宋体" w:cs="宋体"/>
                <w:b/>
                <w:bCs/>
                <w:color w:val="auto"/>
                <w:sz w:val="24"/>
                <w:szCs w:val="24"/>
                <w:lang w:val="en-US" w:eastAsia="zh-CN"/>
              </w:rPr>
              <w:t>且</w:t>
            </w:r>
            <w:r>
              <w:rPr>
                <w:rFonts w:hint="eastAsia" w:ascii="宋体" w:hAnsi="宋体" w:eastAsia="宋体" w:cs="宋体"/>
                <w:b/>
                <w:bCs/>
                <w:color w:val="auto"/>
                <w:sz w:val="24"/>
                <w:szCs w:val="24"/>
              </w:rPr>
              <w:t>≥6300mm 第三排一至三层箱</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PrEx>
        <w:trPr>
          <w:trHeight w:val="409" w:hRule="atLeast"/>
          <w:jc w:val="center"/>
        </w:trPr>
        <w:tc>
          <w:tcPr>
            <w:tcW w:w="735" w:type="dxa"/>
            <w:tcBorders>
              <w:top w:val="single" w:color="auto" w:sz="4" w:space="0"/>
              <w:left w:val="single" w:color="auto" w:sz="4" w:space="0"/>
              <w:bottom w:val="single" w:color="auto" w:sz="4" w:space="0"/>
              <w:right w:val="single" w:color="auto" w:sz="4" w:space="0"/>
            </w:tcBorders>
            <w:noWrap w:val="0"/>
            <w:vAlign w:val="center"/>
          </w:tcPr>
          <w:p>
            <w:pPr>
              <w:numPr>
                <w:ilvl w:val="0"/>
                <w:numId w:val="1"/>
              </w:numPr>
              <w:spacing w:line="360" w:lineRule="auto"/>
              <w:ind w:left="425" w:leftChars="0" w:hanging="425" w:firstLineChars="0"/>
              <w:jc w:val="center"/>
              <w:rPr>
                <w:rFonts w:hint="eastAsia" w:ascii="宋体" w:hAnsi="宋体" w:eastAsia="宋体" w:cs="宋体"/>
                <w:color w:val="auto"/>
                <w:sz w:val="24"/>
                <w:szCs w:val="24"/>
              </w:rPr>
            </w:pPr>
          </w:p>
        </w:tc>
        <w:tc>
          <w:tcPr>
            <w:tcW w:w="25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b/>
                <w:bCs/>
                <w:color w:val="auto"/>
                <w:sz w:val="24"/>
                <w:szCs w:val="24"/>
              </w:rPr>
            </w:pPr>
            <w:r>
              <w:rPr>
                <w:rFonts w:hint="eastAsia" w:ascii="宋体" w:hAnsi="宋体" w:cs="宋体"/>
                <w:color w:val="auto"/>
                <w:sz w:val="24"/>
                <w:szCs w:val="24"/>
                <w:highlight w:val="none"/>
                <w:lang w:val="zh-CN"/>
              </w:rPr>
              <w:t>▲</w:t>
            </w:r>
            <w:r>
              <w:rPr>
                <w:rFonts w:hint="eastAsia" w:ascii="宋体" w:hAnsi="宋体" w:eastAsia="宋体" w:cs="宋体"/>
                <w:b/>
                <w:bCs/>
                <w:color w:val="auto"/>
                <w:sz w:val="24"/>
                <w:szCs w:val="24"/>
              </w:rPr>
              <w:t>吊具下最大起升高度</w:t>
            </w:r>
          </w:p>
        </w:tc>
        <w:tc>
          <w:tcPr>
            <w:tcW w:w="579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≥15000mm</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PrEx>
        <w:trPr>
          <w:trHeight w:val="477" w:hRule="atLeast"/>
          <w:jc w:val="center"/>
        </w:trPr>
        <w:tc>
          <w:tcPr>
            <w:tcW w:w="735" w:type="dxa"/>
            <w:tcBorders>
              <w:top w:val="single" w:color="auto" w:sz="4" w:space="0"/>
              <w:left w:val="single" w:color="auto" w:sz="4" w:space="0"/>
              <w:bottom w:val="single" w:color="auto" w:sz="4" w:space="0"/>
              <w:right w:val="single" w:color="auto" w:sz="4" w:space="0"/>
            </w:tcBorders>
            <w:noWrap w:val="0"/>
            <w:vAlign w:val="center"/>
          </w:tcPr>
          <w:p>
            <w:pPr>
              <w:numPr>
                <w:ilvl w:val="0"/>
                <w:numId w:val="1"/>
              </w:numPr>
              <w:spacing w:line="360" w:lineRule="auto"/>
              <w:ind w:left="425" w:leftChars="0" w:hanging="425" w:firstLineChars="0"/>
              <w:jc w:val="center"/>
              <w:rPr>
                <w:rFonts w:hint="eastAsia" w:ascii="宋体" w:hAnsi="宋体" w:eastAsia="宋体" w:cs="宋体"/>
                <w:color w:val="auto"/>
                <w:sz w:val="24"/>
                <w:szCs w:val="24"/>
              </w:rPr>
            </w:pPr>
          </w:p>
        </w:tc>
        <w:tc>
          <w:tcPr>
            <w:tcW w:w="25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val="en-US" w:eastAsia="zh-CN"/>
              </w:rPr>
              <w:t>吊具</w:t>
            </w:r>
          </w:p>
        </w:tc>
        <w:tc>
          <w:tcPr>
            <w:tcW w:w="579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20寸~40寸伸缩式吊具。</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PrEx>
        <w:trPr>
          <w:trHeight w:val="477" w:hRule="atLeast"/>
          <w:jc w:val="center"/>
        </w:trPr>
        <w:tc>
          <w:tcPr>
            <w:tcW w:w="735" w:type="dxa"/>
            <w:tcBorders>
              <w:top w:val="single" w:color="auto" w:sz="4" w:space="0"/>
              <w:left w:val="single" w:color="auto" w:sz="4" w:space="0"/>
              <w:bottom w:val="single" w:color="auto" w:sz="4" w:space="0"/>
              <w:right w:val="single" w:color="auto" w:sz="4" w:space="0"/>
            </w:tcBorders>
            <w:noWrap w:val="0"/>
            <w:vAlign w:val="center"/>
          </w:tcPr>
          <w:p>
            <w:pPr>
              <w:numPr>
                <w:ilvl w:val="0"/>
                <w:numId w:val="1"/>
              </w:numPr>
              <w:spacing w:line="360" w:lineRule="auto"/>
              <w:ind w:left="425" w:leftChars="0" w:hanging="425" w:firstLineChars="0"/>
              <w:jc w:val="center"/>
              <w:rPr>
                <w:rFonts w:hint="eastAsia" w:ascii="宋体" w:hAnsi="宋体" w:eastAsia="宋体" w:cs="宋体"/>
                <w:color w:val="auto"/>
                <w:sz w:val="24"/>
                <w:szCs w:val="24"/>
              </w:rPr>
            </w:pPr>
          </w:p>
        </w:tc>
        <w:tc>
          <w:tcPr>
            <w:tcW w:w="25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整车自重</w:t>
            </w:r>
          </w:p>
        </w:tc>
        <w:tc>
          <w:tcPr>
            <w:tcW w:w="579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≤7</w:t>
            </w:r>
            <w:r>
              <w:rPr>
                <w:rFonts w:hint="eastAsia" w:ascii="宋体" w:hAnsi="宋体" w:eastAsia="宋体" w:cs="宋体"/>
                <w:color w:val="auto"/>
                <w:sz w:val="24"/>
                <w:szCs w:val="24"/>
                <w:lang w:val="en-US" w:eastAsia="zh-CN"/>
              </w:rPr>
              <w:t>5000</w:t>
            </w:r>
            <w:r>
              <w:rPr>
                <w:rFonts w:hint="eastAsia" w:ascii="宋体" w:hAnsi="宋体" w:eastAsia="宋体" w:cs="宋体"/>
                <w:color w:val="auto"/>
                <w:sz w:val="24"/>
                <w:szCs w:val="24"/>
              </w:rPr>
              <w:t>KG</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PrEx>
        <w:trPr>
          <w:trHeight w:val="454" w:hRule="atLeast"/>
          <w:jc w:val="center"/>
        </w:trPr>
        <w:tc>
          <w:tcPr>
            <w:tcW w:w="735" w:type="dxa"/>
            <w:tcBorders>
              <w:top w:val="single" w:color="auto" w:sz="4" w:space="0"/>
              <w:left w:val="single" w:color="auto" w:sz="4" w:space="0"/>
              <w:bottom w:val="single" w:color="auto" w:sz="4" w:space="0"/>
              <w:right w:val="single" w:color="auto" w:sz="4" w:space="0"/>
            </w:tcBorders>
            <w:noWrap w:val="0"/>
            <w:vAlign w:val="center"/>
          </w:tcPr>
          <w:p>
            <w:pPr>
              <w:numPr>
                <w:ilvl w:val="0"/>
                <w:numId w:val="1"/>
              </w:numPr>
              <w:spacing w:line="360" w:lineRule="auto"/>
              <w:ind w:left="425" w:leftChars="0" w:hanging="425" w:firstLineChars="0"/>
              <w:jc w:val="center"/>
              <w:rPr>
                <w:rFonts w:hint="eastAsia" w:ascii="宋体" w:hAnsi="宋体" w:eastAsia="宋体" w:cs="宋体"/>
                <w:color w:val="auto"/>
                <w:sz w:val="24"/>
                <w:szCs w:val="24"/>
              </w:rPr>
            </w:pPr>
          </w:p>
        </w:tc>
        <w:tc>
          <w:tcPr>
            <w:tcW w:w="25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前后桥最大载荷</w:t>
            </w:r>
          </w:p>
        </w:tc>
        <w:tc>
          <w:tcPr>
            <w:tcW w:w="579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前桥≤100T ；后桥≤35T</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PrEx>
        <w:trPr>
          <w:trHeight w:val="522" w:hRule="atLeast"/>
          <w:jc w:val="center"/>
        </w:trPr>
        <w:tc>
          <w:tcPr>
            <w:tcW w:w="735" w:type="dxa"/>
            <w:tcBorders>
              <w:top w:val="single" w:color="auto" w:sz="4" w:space="0"/>
              <w:left w:val="single" w:color="auto" w:sz="4" w:space="0"/>
              <w:bottom w:val="single" w:color="auto" w:sz="4" w:space="0"/>
              <w:right w:val="single" w:color="auto" w:sz="4" w:space="0"/>
            </w:tcBorders>
            <w:noWrap w:val="0"/>
            <w:vAlign w:val="center"/>
          </w:tcPr>
          <w:p>
            <w:pPr>
              <w:numPr>
                <w:ilvl w:val="0"/>
                <w:numId w:val="1"/>
              </w:numPr>
              <w:spacing w:line="360" w:lineRule="auto"/>
              <w:ind w:left="425" w:leftChars="0" w:hanging="425" w:firstLineChars="0"/>
              <w:jc w:val="center"/>
              <w:rPr>
                <w:rFonts w:hint="eastAsia" w:ascii="宋体" w:hAnsi="宋体" w:eastAsia="宋体" w:cs="宋体"/>
                <w:color w:val="auto"/>
                <w:sz w:val="24"/>
                <w:szCs w:val="24"/>
              </w:rPr>
            </w:pPr>
          </w:p>
        </w:tc>
        <w:tc>
          <w:tcPr>
            <w:tcW w:w="25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轴距</w:t>
            </w:r>
          </w:p>
        </w:tc>
        <w:tc>
          <w:tcPr>
            <w:tcW w:w="579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≥6000mm</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PrEx>
        <w:trPr>
          <w:trHeight w:val="544" w:hRule="atLeast"/>
          <w:jc w:val="center"/>
        </w:trPr>
        <w:tc>
          <w:tcPr>
            <w:tcW w:w="735" w:type="dxa"/>
            <w:tcBorders>
              <w:top w:val="single" w:color="auto" w:sz="4" w:space="0"/>
              <w:left w:val="single" w:color="auto" w:sz="4" w:space="0"/>
              <w:bottom w:val="single" w:color="auto" w:sz="4" w:space="0"/>
              <w:right w:val="single" w:color="auto" w:sz="4" w:space="0"/>
            </w:tcBorders>
            <w:noWrap w:val="0"/>
            <w:vAlign w:val="center"/>
          </w:tcPr>
          <w:p>
            <w:pPr>
              <w:numPr>
                <w:ilvl w:val="0"/>
                <w:numId w:val="1"/>
              </w:numPr>
              <w:spacing w:line="360" w:lineRule="auto"/>
              <w:ind w:left="425" w:leftChars="0" w:hanging="425" w:firstLineChars="0"/>
              <w:jc w:val="center"/>
              <w:rPr>
                <w:rFonts w:hint="eastAsia" w:ascii="宋体" w:hAnsi="宋体" w:eastAsia="宋体" w:cs="宋体"/>
                <w:color w:val="auto"/>
                <w:sz w:val="24"/>
                <w:szCs w:val="24"/>
              </w:rPr>
            </w:pPr>
          </w:p>
        </w:tc>
        <w:tc>
          <w:tcPr>
            <w:tcW w:w="25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最小整车高度</w:t>
            </w:r>
          </w:p>
        </w:tc>
        <w:tc>
          <w:tcPr>
            <w:tcW w:w="579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≤4800mm</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PrEx>
        <w:trPr>
          <w:trHeight w:val="509" w:hRule="atLeast"/>
          <w:jc w:val="center"/>
        </w:trPr>
        <w:tc>
          <w:tcPr>
            <w:tcW w:w="735" w:type="dxa"/>
            <w:tcBorders>
              <w:top w:val="single" w:color="auto" w:sz="4" w:space="0"/>
              <w:left w:val="single" w:color="auto" w:sz="4" w:space="0"/>
              <w:bottom w:val="single" w:color="auto" w:sz="4" w:space="0"/>
              <w:right w:val="single" w:color="auto" w:sz="4" w:space="0"/>
            </w:tcBorders>
            <w:noWrap w:val="0"/>
            <w:vAlign w:val="center"/>
          </w:tcPr>
          <w:p>
            <w:pPr>
              <w:numPr>
                <w:ilvl w:val="0"/>
                <w:numId w:val="1"/>
              </w:numPr>
              <w:spacing w:line="360" w:lineRule="auto"/>
              <w:ind w:left="425" w:leftChars="0" w:hanging="425" w:firstLineChars="0"/>
              <w:jc w:val="center"/>
              <w:rPr>
                <w:rFonts w:hint="eastAsia" w:ascii="宋体" w:hAnsi="宋体" w:eastAsia="宋体" w:cs="宋体"/>
                <w:color w:val="auto"/>
                <w:sz w:val="24"/>
                <w:szCs w:val="24"/>
              </w:rPr>
            </w:pPr>
          </w:p>
        </w:tc>
        <w:tc>
          <w:tcPr>
            <w:tcW w:w="25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90°通道宽度20’箱</w:t>
            </w:r>
          </w:p>
        </w:tc>
        <w:tc>
          <w:tcPr>
            <w:tcW w:w="579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≤12000mm</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PrEx>
        <w:trPr>
          <w:trHeight w:val="525" w:hRule="atLeast"/>
          <w:jc w:val="center"/>
        </w:trPr>
        <w:tc>
          <w:tcPr>
            <w:tcW w:w="735" w:type="dxa"/>
            <w:tcBorders>
              <w:top w:val="single" w:color="auto" w:sz="4" w:space="0"/>
              <w:left w:val="single" w:color="auto" w:sz="4" w:space="0"/>
              <w:bottom w:val="single" w:color="auto" w:sz="4" w:space="0"/>
              <w:right w:val="single" w:color="auto" w:sz="4" w:space="0"/>
            </w:tcBorders>
            <w:noWrap w:val="0"/>
            <w:vAlign w:val="center"/>
          </w:tcPr>
          <w:p>
            <w:pPr>
              <w:numPr>
                <w:ilvl w:val="0"/>
                <w:numId w:val="1"/>
              </w:numPr>
              <w:spacing w:line="360" w:lineRule="auto"/>
              <w:ind w:left="425" w:leftChars="0" w:hanging="425" w:firstLineChars="0"/>
              <w:jc w:val="center"/>
              <w:rPr>
                <w:rFonts w:hint="eastAsia" w:ascii="宋体" w:hAnsi="宋体" w:eastAsia="宋体" w:cs="宋体"/>
                <w:color w:val="auto"/>
                <w:sz w:val="24"/>
                <w:szCs w:val="24"/>
              </w:rPr>
            </w:pPr>
          </w:p>
        </w:tc>
        <w:tc>
          <w:tcPr>
            <w:tcW w:w="25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90°通道宽度40’箱</w:t>
            </w:r>
          </w:p>
        </w:tc>
        <w:tc>
          <w:tcPr>
            <w:tcW w:w="579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≤14000mm</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PrEx>
        <w:trPr>
          <w:trHeight w:val="459" w:hRule="atLeast"/>
          <w:jc w:val="center"/>
        </w:trPr>
        <w:tc>
          <w:tcPr>
            <w:tcW w:w="735" w:type="dxa"/>
            <w:tcBorders>
              <w:top w:val="single" w:color="auto" w:sz="4" w:space="0"/>
              <w:left w:val="single" w:color="auto" w:sz="4" w:space="0"/>
              <w:bottom w:val="single" w:color="auto" w:sz="4" w:space="0"/>
              <w:right w:val="single" w:color="auto" w:sz="4" w:space="0"/>
            </w:tcBorders>
            <w:noWrap w:val="0"/>
            <w:vAlign w:val="center"/>
          </w:tcPr>
          <w:p>
            <w:pPr>
              <w:numPr>
                <w:ilvl w:val="0"/>
                <w:numId w:val="1"/>
              </w:numPr>
              <w:spacing w:line="360" w:lineRule="auto"/>
              <w:ind w:left="425" w:leftChars="0" w:hanging="425" w:firstLineChars="0"/>
              <w:jc w:val="center"/>
              <w:rPr>
                <w:rFonts w:hint="eastAsia" w:ascii="宋体" w:hAnsi="宋体" w:eastAsia="宋体" w:cs="宋体"/>
                <w:color w:val="auto"/>
                <w:sz w:val="24"/>
                <w:szCs w:val="24"/>
              </w:rPr>
            </w:pPr>
          </w:p>
        </w:tc>
        <w:tc>
          <w:tcPr>
            <w:tcW w:w="25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b/>
                <w:color w:val="auto"/>
                <w:sz w:val="24"/>
                <w:szCs w:val="24"/>
              </w:rPr>
            </w:pPr>
            <w:r>
              <w:rPr>
                <w:rFonts w:hint="eastAsia" w:ascii="宋体" w:hAnsi="宋体" w:eastAsia="宋体" w:cs="宋体"/>
                <w:b/>
                <w:bCs/>
                <w:color w:val="auto"/>
                <w:sz w:val="24"/>
                <w:szCs w:val="24"/>
                <w:lang w:val="en-US" w:eastAsia="zh-CN"/>
              </w:rPr>
              <w:t>★</w:t>
            </w:r>
            <w:r>
              <w:rPr>
                <w:rFonts w:hint="eastAsia" w:ascii="宋体" w:hAnsi="宋体" w:eastAsia="宋体" w:cs="宋体"/>
                <w:b/>
                <w:color w:val="auto"/>
                <w:sz w:val="24"/>
                <w:szCs w:val="24"/>
              </w:rPr>
              <w:t>发动机额定功率</w:t>
            </w:r>
          </w:p>
        </w:tc>
        <w:tc>
          <w:tcPr>
            <w:tcW w:w="579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≥260Kw</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PrEx>
        <w:trPr>
          <w:trHeight w:val="468" w:hRule="atLeast"/>
          <w:jc w:val="center"/>
        </w:trPr>
        <w:tc>
          <w:tcPr>
            <w:tcW w:w="735" w:type="dxa"/>
            <w:tcBorders>
              <w:top w:val="single" w:color="auto" w:sz="4" w:space="0"/>
              <w:left w:val="single" w:color="auto" w:sz="4" w:space="0"/>
              <w:bottom w:val="single" w:color="auto" w:sz="4" w:space="0"/>
              <w:right w:val="single" w:color="auto" w:sz="4" w:space="0"/>
            </w:tcBorders>
            <w:noWrap w:val="0"/>
            <w:vAlign w:val="center"/>
          </w:tcPr>
          <w:p>
            <w:pPr>
              <w:numPr>
                <w:ilvl w:val="0"/>
                <w:numId w:val="1"/>
              </w:numPr>
              <w:spacing w:line="360" w:lineRule="auto"/>
              <w:ind w:left="425" w:leftChars="0" w:hanging="425" w:firstLineChars="0"/>
              <w:jc w:val="center"/>
              <w:rPr>
                <w:rFonts w:hint="eastAsia" w:ascii="宋体" w:hAnsi="宋体" w:eastAsia="宋体" w:cs="宋体"/>
                <w:color w:val="auto"/>
                <w:sz w:val="24"/>
                <w:szCs w:val="24"/>
              </w:rPr>
            </w:pPr>
          </w:p>
        </w:tc>
        <w:tc>
          <w:tcPr>
            <w:tcW w:w="25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最大牵引能力</w:t>
            </w:r>
          </w:p>
        </w:tc>
        <w:tc>
          <w:tcPr>
            <w:tcW w:w="5797"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14" w:leftChars="5" w:firstLine="1"/>
              <w:rPr>
                <w:rFonts w:hint="eastAsia" w:ascii="宋体" w:hAnsi="宋体" w:eastAsia="宋体" w:cs="宋体"/>
                <w:color w:val="auto"/>
                <w:sz w:val="24"/>
                <w:szCs w:val="24"/>
              </w:rPr>
            </w:pPr>
            <w:r>
              <w:rPr>
                <w:rFonts w:hint="eastAsia" w:ascii="宋体" w:hAnsi="宋体" w:eastAsia="宋体" w:cs="宋体"/>
                <w:color w:val="auto"/>
                <w:sz w:val="24"/>
                <w:szCs w:val="24"/>
              </w:rPr>
              <w:t>≥300KN</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PrEx>
        <w:trPr>
          <w:trHeight w:val="512" w:hRule="atLeast"/>
          <w:jc w:val="center"/>
        </w:trPr>
        <w:tc>
          <w:tcPr>
            <w:tcW w:w="735" w:type="dxa"/>
            <w:tcBorders>
              <w:top w:val="single" w:color="auto" w:sz="4" w:space="0"/>
              <w:left w:val="single" w:color="auto" w:sz="4" w:space="0"/>
              <w:bottom w:val="single" w:color="auto" w:sz="4" w:space="0"/>
              <w:right w:val="single" w:color="auto" w:sz="4" w:space="0"/>
            </w:tcBorders>
            <w:noWrap w:val="0"/>
            <w:vAlign w:val="center"/>
          </w:tcPr>
          <w:p>
            <w:pPr>
              <w:numPr>
                <w:ilvl w:val="0"/>
                <w:numId w:val="1"/>
              </w:numPr>
              <w:spacing w:line="360" w:lineRule="auto"/>
              <w:ind w:left="425" w:leftChars="0" w:hanging="425" w:firstLineChars="0"/>
              <w:jc w:val="center"/>
              <w:rPr>
                <w:rFonts w:hint="eastAsia" w:ascii="宋体" w:hAnsi="宋体" w:eastAsia="宋体" w:cs="宋体"/>
                <w:color w:val="auto"/>
                <w:sz w:val="24"/>
                <w:szCs w:val="24"/>
              </w:rPr>
            </w:pPr>
          </w:p>
        </w:tc>
        <w:tc>
          <w:tcPr>
            <w:tcW w:w="25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b/>
                <w:color w:val="auto"/>
                <w:sz w:val="24"/>
                <w:szCs w:val="24"/>
              </w:rPr>
            </w:pPr>
            <w:r>
              <w:rPr>
                <w:rFonts w:hint="eastAsia" w:ascii="宋体" w:hAnsi="宋体" w:eastAsia="宋体" w:cs="宋体"/>
                <w:b/>
                <w:bCs/>
                <w:color w:val="auto"/>
                <w:sz w:val="24"/>
                <w:szCs w:val="24"/>
                <w:lang w:val="en-US" w:eastAsia="zh-CN"/>
              </w:rPr>
              <w:t>★</w:t>
            </w:r>
            <w:r>
              <w:rPr>
                <w:rFonts w:hint="eastAsia" w:ascii="宋体" w:hAnsi="宋体" w:eastAsia="宋体" w:cs="宋体"/>
                <w:b/>
                <w:color w:val="auto"/>
                <w:sz w:val="24"/>
                <w:szCs w:val="24"/>
              </w:rPr>
              <w:t>变速箱</w:t>
            </w:r>
          </w:p>
        </w:tc>
        <w:tc>
          <w:tcPr>
            <w:tcW w:w="579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手动/自动两种控制方式</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PrEx>
        <w:trPr>
          <w:trHeight w:val="448" w:hRule="atLeast"/>
          <w:jc w:val="center"/>
        </w:trPr>
        <w:tc>
          <w:tcPr>
            <w:tcW w:w="735" w:type="dxa"/>
            <w:tcBorders>
              <w:top w:val="single" w:color="auto" w:sz="4" w:space="0"/>
              <w:left w:val="single" w:color="auto" w:sz="4" w:space="0"/>
              <w:bottom w:val="single" w:color="auto" w:sz="4" w:space="0"/>
              <w:right w:val="single" w:color="auto" w:sz="4" w:space="0"/>
            </w:tcBorders>
            <w:noWrap w:val="0"/>
            <w:vAlign w:val="center"/>
          </w:tcPr>
          <w:p>
            <w:pPr>
              <w:numPr>
                <w:ilvl w:val="0"/>
                <w:numId w:val="1"/>
              </w:numPr>
              <w:spacing w:line="360" w:lineRule="auto"/>
              <w:ind w:left="425" w:leftChars="0" w:hanging="425" w:firstLineChars="0"/>
              <w:jc w:val="center"/>
              <w:rPr>
                <w:rFonts w:hint="eastAsia" w:ascii="宋体" w:hAnsi="宋体" w:eastAsia="宋体" w:cs="宋体"/>
                <w:color w:val="auto"/>
                <w:sz w:val="24"/>
                <w:szCs w:val="24"/>
              </w:rPr>
            </w:pPr>
          </w:p>
        </w:tc>
        <w:tc>
          <w:tcPr>
            <w:tcW w:w="25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b/>
                <w:color w:val="auto"/>
                <w:sz w:val="24"/>
                <w:szCs w:val="24"/>
              </w:rPr>
            </w:pPr>
            <w:r>
              <w:rPr>
                <w:rFonts w:hint="eastAsia" w:ascii="宋体" w:hAnsi="宋体" w:eastAsia="宋体" w:cs="宋体"/>
                <w:b/>
                <w:bCs/>
                <w:color w:val="auto"/>
                <w:sz w:val="24"/>
                <w:szCs w:val="24"/>
                <w:lang w:val="en-US" w:eastAsia="zh-CN"/>
              </w:rPr>
              <w:t>★</w:t>
            </w:r>
            <w:r>
              <w:rPr>
                <w:rFonts w:hint="eastAsia" w:ascii="宋体" w:hAnsi="宋体" w:eastAsia="宋体" w:cs="宋体"/>
                <w:b/>
                <w:color w:val="auto"/>
                <w:sz w:val="24"/>
                <w:szCs w:val="24"/>
              </w:rPr>
              <w:t>驱动桥</w:t>
            </w:r>
          </w:p>
        </w:tc>
        <w:tc>
          <w:tcPr>
            <w:tcW w:w="579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适合低速重载作业工况，其静强度应大于最大桥负荷的1.4倍。</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PrEx>
        <w:trPr>
          <w:trHeight w:val="323" w:hRule="atLeast"/>
          <w:jc w:val="center"/>
        </w:trPr>
        <w:tc>
          <w:tcPr>
            <w:tcW w:w="735" w:type="dxa"/>
            <w:tcBorders>
              <w:top w:val="single" w:color="auto" w:sz="4" w:space="0"/>
              <w:left w:val="single" w:color="auto" w:sz="4" w:space="0"/>
              <w:bottom w:val="single" w:color="auto" w:sz="4" w:space="0"/>
              <w:right w:val="single" w:color="auto" w:sz="4" w:space="0"/>
            </w:tcBorders>
            <w:noWrap w:val="0"/>
            <w:vAlign w:val="center"/>
          </w:tcPr>
          <w:p>
            <w:pPr>
              <w:numPr>
                <w:ilvl w:val="0"/>
                <w:numId w:val="1"/>
              </w:numPr>
              <w:spacing w:line="360" w:lineRule="auto"/>
              <w:ind w:left="425" w:leftChars="0" w:hanging="425" w:firstLineChars="0"/>
              <w:jc w:val="center"/>
              <w:rPr>
                <w:rFonts w:hint="eastAsia" w:ascii="宋体" w:hAnsi="宋体" w:eastAsia="宋体" w:cs="宋体"/>
                <w:color w:val="auto"/>
                <w:sz w:val="24"/>
                <w:szCs w:val="24"/>
              </w:rPr>
            </w:pPr>
          </w:p>
        </w:tc>
        <w:tc>
          <w:tcPr>
            <w:tcW w:w="25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起升速度（满载）（空载）</w:t>
            </w:r>
          </w:p>
        </w:tc>
        <w:tc>
          <w:tcPr>
            <w:tcW w:w="579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满载≥250mm/s   空载≥420mm/s</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PrEx>
        <w:trPr>
          <w:trHeight w:val="373" w:hRule="atLeast"/>
          <w:jc w:val="center"/>
        </w:trPr>
        <w:tc>
          <w:tcPr>
            <w:tcW w:w="735" w:type="dxa"/>
            <w:tcBorders>
              <w:top w:val="single" w:color="auto" w:sz="4" w:space="0"/>
              <w:left w:val="single" w:color="auto" w:sz="4" w:space="0"/>
              <w:bottom w:val="single" w:color="auto" w:sz="4" w:space="0"/>
              <w:right w:val="single" w:color="auto" w:sz="4" w:space="0"/>
            </w:tcBorders>
            <w:noWrap w:val="0"/>
            <w:vAlign w:val="center"/>
          </w:tcPr>
          <w:p>
            <w:pPr>
              <w:numPr>
                <w:ilvl w:val="0"/>
                <w:numId w:val="1"/>
              </w:numPr>
              <w:spacing w:line="360" w:lineRule="auto"/>
              <w:ind w:left="425" w:leftChars="0" w:hanging="425" w:firstLineChars="0"/>
              <w:jc w:val="center"/>
              <w:rPr>
                <w:rFonts w:hint="eastAsia" w:ascii="宋体" w:hAnsi="宋体" w:eastAsia="宋体" w:cs="宋体"/>
                <w:color w:val="auto"/>
                <w:sz w:val="24"/>
                <w:szCs w:val="24"/>
              </w:rPr>
            </w:pPr>
          </w:p>
        </w:tc>
        <w:tc>
          <w:tcPr>
            <w:tcW w:w="25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下降速度（满载）（空载）</w:t>
            </w:r>
          </w:p>
        </w:tc>
        <w:tc>
          <w:tcPr>
            <w:tcW w:w="579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满载≥290mm/s   空载≥320mm/s</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PrEx>
        <w:trPr>
          <w:trHeight w:val="549" w:hRule="atLeast"/>
          <w:jc w:val="center"/>
        </w:trPr>
        <w:tc>
          <w:tcPr>
            <w:tcW w:w="735" w:type="dxa"/>
            <w:tcBorders>
              <w:top w:val="single" w:color="auto" w:sz="4" w:space="0"/>
              <w:left w:val="single" w:color="auto" w:sz="4" w:space="0"/>
              <w:bottom w:val="single" w:color="auto" w:sz="4" w:space="0"/>
              <w:right w:val="single" w:color="auto" w:sz="4" w:space="0"/>
            </w:tcBorders>
            <w:noWrap w:val="0"/>
            <w:vAlign w:val="center"/>
          </w:tcPr>
          <w:p>
            <w:pPr>
              <w:numPr>
                <w:ilvl w:val="0"/>
                <w:numId w:val="1"/>
              </w:numPr>
              <w:spacing w:line="360" w:lineRule="auto"/>
              <w:ind w:left="425" w:leftChars="0" w:hanging="425" w:firstLineChars="0"/>
              <w:jc w:val="center"/>
              <w:rPr>
                <w:rFonts w:hint="eastAsia" w:ascii="宋体" w:hAnsi="宋体" w:eastAsia="宋体" w:cs="宋体"/>
                <w:color w:val="auto"/>
                <w:sz w:val="24"/>
                <w:szCs w:val="24"/>
              </w:rPr>
            </w:pPr>
          </w:p>
        </w:tc>
        <w:tc>
          <w:tcPr>
            <w:tcW w:w="25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空载运行速度</w:t>
            </w:r>
          </w:p>
        </w:tc>
        <w:tc>
          <w:tcPr>
            <w:tcW w:w="579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≥22KM/H</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PrEx>
        <w:trPr>
          <w:trHeight w:val="498" w:hRule="atLeast"/>
          <w:jc w:val="center"/>
        </w:trPr>
        <w:tc>
          <w:tcPr>
            <w:tcW w:w="735" w:type="dxa"/>
            <w:tcBorders>
              <w:top w:val="single" w:color="auto" w:sz="4" w:space="0"/>
              <w:left w:val="single" w:color="auto" w:sz="4" w:space="0"/>
              <w:bottom w:val="single" w:color="auto" w:sz="4" w:space="0"/>
              <w:right w:val="single" w:color="auto" w:sz="4" w:space="0"/>
            </w:tcBorders>
            <w:noWrap w:val="0"/>
            <w:vAlign w:val="center"/>
          </w:tcPr>
          <w:p>
            <w:pPr>
              <w:numPr>
                <w:ilvl w:val="0"/>
                <w:numId w:val="1"/>
              </w:numPr>
              <w:spacing w:line="360" w:lineRule="auto"/>
              <w:ind w:left="425" w:leftChars="0" w:hanging="425" w:firstLineChars="0"/>
              <w:jc w:val="center"/>
              <w:rPr>
                <w:rFonts w:hint="eastAsia" w:ascii="宋体" w:hAnsi="宋体" w:eastAsia="宋体" w:cs="宋体"/>
                <w:color w:val="auto"/>
                <w:sz w:val="24"/>
                <w:szCs w:val="24"/>
              </w:rPr>
            </w:pPr>
          </w:p>
        </w:tc>
        <w:tc>
          <w:tcPr>
            <w:tcW w:w="25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满载运行速度</w:t>
            </w:r>
          </w:p>
        </w:tc>
        <w:tc>
          <w:tcPr>
            <w:tcW w:w="579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≥20KM/H</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PrEx>
        <w:trPr>
          <w:trHeight w:val="462" w:hRule="atLeast"/>
          <w:jc w:val="center"/>
        </w:trPr>
        <w:tc>
          <w:tcPr>
            <w:tcW w:w="735" w:type="dxa"/>
            <w:tcBorders>
              <w:top w:val="single" w:color="auto" w:sz="4" w:space="0"/>
              <w:left w:val="single" w:color="auto" w:sz="4" w:space="0"/>
              <w:bottom w:val="single" w:color="auto" w:sz="4" w:space="0"/>
              <w:right w:val="single" w:color="auto" w:sz="4" w:space="0"/>
            </w:tcBorders>
            <w:noWrap w:val="0"/>
            <w:vAlign w:val="center"/>
          </w:tcPr>
          <w:p>
            <w:pPr>
              <w:numPr>
                <w:ilvl w:val="0"/>
                <w:numId w:val="1"/>
              </w:numPr>
              <w:spacing w:line="360" w:lineRule="auto"/>
              <w:ind w:left="425" w:leftChars="0" w:hanging="425" w:firstLineChars="0"/>
              <w:jc w:val="center"/>
              <w:rPr>
                <w:rFonts w:hint="eastAsia" w:ascii="宋体" w:hAnsi="宋体" w:eastAsia="宋体" w:cs="宋体"/>
                <w:color w:val="auto"/>
                <w:sz w:val="24"/>
                <w:szCs w:val="24"/>
              </w:rPr>
            </w:pPr>
          </w:p>
        </w:tc>
        <w:tc>
          <w:tcPr>
            <w:tcW w:w="25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制动系统</w:t>
            </w:r>
          </w:p>
        </w:tc>
        <w:tc>
          <w:tcPr>
            <w:tcW w:w="579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全封闭湿碟式制动</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PrEx>
        <w:trPr>
          <w:trHeight w:val="693" w:hRule="atLeast"/>
          <w:jc w:val="center"/>
        </w:trPr>
        <w:tc>
          <w:tcPr>
            <w:tcW w:w="735" w:type="dxa"/>
            <w:tcBorders>
              <w:top w:val="single" w:color="auto" w:sz="4" w:space="0"/>
              <w:left w:val="single" w:color="auto" w:sz="4" w:space="0"/>
              <w:bottom w:val="single" w:color="auto" w:sz="4" w:space="0"/>
              <w:right w:val="single" w:color="auto" w:sz="4" w:space="0"/>
            </w:tcBorders>
            <w:noWrap w:val="0"/>
            <w:vAlign w:val="center"/>
          </w:tcPr>
          <w:p>
            <w:pPr>
              <w:numPr>
                <w:ilvl w:val="0"/>
                <w:numId w:val="1"/>
              </w:numPr>
              <w:spacing w:line="360" w:lineRule="auto"/>
              <w:ind w:left="425" w:leftChars="0" w:hanging="425" w:firstLineChars="0"/>
              <w:jc w:val="center"/>
              <w:rPr>
                <w:rFonts w:hint="eastAsia" w:ascii="宋体" w:hAnsi="宋体" w:eastAsia="宋体" w:cs="宋体"/>
                <w:color w:val="auto"/>
                <w:sz w:val="24"/>
                <w:szCs w:val="24"/>
              </w:rPr>
            </w:pPr>
          </w:p>
        </w:tc>
        <w:tc>
          <w:tcPr>
            <w:tcW w:w="25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w:t>
            </w:r>
            <w:r>
              <w:rPr>
                <w:rFonts w:hint="eastAsia" w:ascii="宋体" w:hAnsi="宋体" w:eastAsia="宋体" w:cs="宋体"/>
                <w:b/>
                <w:bCs/>
                <w:color w:val="auto"/>
                <w:sz w:val="24"/>
                <w:szCs w:val="24"/>
              </w:rPr>
              <w:t>监控系统</w:t>
            </w:r>
          </w:p>
        </w:tc>
        <w:tc>
          <w:tcPr>
            <w:tcW w:w="579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配备远程监控系统，可实时监测设备运行情况及设备故障报警</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PrEx>
        <w:trPr>
          <w:trHeight w:val="509" w:hRule="atLeast"/>
          <w:jc w:val="center"/>
        </w:trPr>
        <w:tc>
          <w:tcPr>
            <w:tcW w:w="735" w:type="dxa"/>
            <w:tcBorders>
              <w:top w:val="single" w:color="auto" w:sz="4" w:space="0"/>
              <w:left w:val="single" w:color="auto" w:sz="4" w:space="0"/>
              <w:bottom w:val="single" w:color="auto" w:sz="4" w:space="0"/>
              <w:right w:val="single" w:color="auto" w:sz="4" w:space="0"/>
            </w:tcBorders>
            <w:noWrap w:val="0"/>
            <w:vAlign w:val="center"/>
          </w:tcPr>
          <w:p>
            <w:pPr>
              <w:numPr>
                <w:ilvl w:val="0"/>
                <w:numId w:val="1"/>
              </w:numPr>
              <w:spacing w:line="360" w:lineRule="auto"/>
              <w:ind w:left="425" w:leftChars="0" w:hanging="425" w:firstLineChars="0"/>
              <w:jc w:val="center"/>
              <w:rPr>
                <w:rFonts w:hint="eastAsia" w:ascii="宋体" w:hAnsi="宋体" w:eastAsia="宋体" w:cs="宋体"/>
                <w:color w:val="auto"/>
                <w:sz w:val="24"/>
                <w:szCs w:val="24"/>
              </w:rPr>
            </w:pPr>
          </w:p>
        </w:tc>
        <w:tc>
          <w:tcPr>
            <w:tcW w:w="25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最小转弯半径</w:t>
            </w:r>
          </w:p>
        </w:tc>
        <w:tc>
          <w:tcPr>
            <w:tcW w:w="579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≤8</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00mm</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PrEx>
        <w:trPr>
          <w:trHeight w:val="487" w:hRule="atLeast"/>
          <w:jc w:val="center"/>
        </w:trPr>
        <w:tc>
          <w:tcPr>
            <w:tcW w:w="735" w:type="dxa"/>
            <w:tcBorders>
              <w:top w:val="single" w:color="auto" w:sz="4" w:space="0"/>
              <w:left w:val="single" w:color="auto" w:sz="4" w:space="0"/>
              <w:bottom w:val="single" w:color="auto" w:sz="4" w:space="0"/>
              <w:right w:val="single" w:color="auto" w:sz="4" w:space="0"/>
            </w:tcBorders>
            <w:noWrap w:val="0"/>
            <w:vAlign w:val="center"/>
          </w:tcPr>
          <w:p>
            <w:pPr>
              <w:numPr>
                <w:ilvl w:val="0"/>
                <w:numId w:val="1"/>
              </w:numPr>
              <w:spacing w:line="360" w:lineRule="auto"/>
              <w:ind w:left="425" w:leftChars="0" w:hanging="425" w:firstLineChars="0"/>
              <w:jc w:val="center"/>
              <w:rPr>
                <w:rFonts w:hint="eastAsia" w:ascii="宋体" w:hAnsi="宋体" w:eastAsia="宋体" w:cs="宋体"/>
                <w:color w:val="auto"/>
                <w:sz w:val="24"/>
                <w:szCs w:val="24"/>
              </w:rPr>
            </w:pPr>
          </w:p>
        </w:tc>
        <w:tc>
          <w:tcPr>
            <w:tcW w:w="25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额定载荷下爬坡能力</w:t>
            </w:r>
          </w:p>
        </w:tc>
        <w:tc>
          <w:tcPr>
            <w:tcW w:w="579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≥19%</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PrEx>
        <w:trPr>
          <w:trHeight w:val="478" w:hRule="atLeast"/>
          <w:jc w:val="center"/>
        </w:trPr>
        <w:tc>
          <w:tcPr>
            <w:tcW w:w="735" w:type="dxa"/>
            <w:tcBorders>
              <w:top w:val="single" w:color="auto" w:sz="4" w:space="0"/>
              <w:left w:val="single" w:color="auto" w:sz="4" w:space="0"/>
              <w:bottom w:val="single" w:color="auto" w:sz="4" w:space="0"/>
              <w:right w:val="single" w:color="auto" w:sz="4" w:space="0"/>
            </w:tcBorders>
            <w:noWrap w:val="0"/>
            <w:vAlign w:val="center"/>
          </w:tcPr>
          <w:p>
            <w:pPr>
              <w:numPr>
                <w:ilvl w:val="0"/>
                <w:numId w:val="1"/>
              </w:numPr>
              <w:spacing w:line="360" w:lineRule="auto"/>
              <w:ind w:left="425" w:leftChars="0" w:hanging="425" w:firstLineChars="0"/>
              <w:jc w:val="center"/>
              <w:rPr>
                <w:rFonts w:hint="eastAsia" w:ascii="宋体" w:hAnsi="宋体" w:eastAsia="宋体" w:cs="宋体"/>
                <w:color w:val="auto"/>
                <w:sz w:val="24"/>
                <w:szCs w:val="24"/>
              </w:rPr>
            </w:pPr>
          </w:p>
        </w:tc>
        <w:tc>
          <w:tcPr>
            <w:tcW w:w="25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轮胎</w:t>
            </w:r>
          </w:p>
        </w:tc>
        <w:tc>
          <w:tcPr>
            <w:tcW w:w="579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型号18.00-25尼龙真空胎，40层级以上</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PrEx>
        <w:trPr>
          <w:trHeight w:val="496" w:hRule="atLeast"/>
          <w:jc w:val="center"/>
        </w:trPr>
        <w:tc>
          <w:tcPr>
            <w:tcW w:w="735" w:type="dxa"/>
            <w:tcBorders>
              <w:top w:val="single" w:color="auto" w:sz="4" w:space="0"/>
              <w:left w:val="single" w:color="auto" w:sz="4" w:space="0"/>
              <w:bottom w:val="single" w:color="auto" w:sz="4" w:space="0"/>
              <w:right w:val="single" w:color="auto" w:sz="4" w:space="0"/>
            </w:tcBorders>
            <w:noWrap w:val="0"/>
            <w:vAlign w:val="center"/>
          </w:tcPr>
          <w:p>
            <w:pPr>
              <w:numPr>
                <w:ilvl w:val="0"/>
                <w:numId w:val="1"/>
              </w:numPr>
              <w:spacing w:line="360" w:lineRule="auto"/>
              <w:ind w:left="425" w:leftChars="0" w:hanging="425" w:firstLineChars="0"/>
              <w:jc w:val="center"/>
              <w:rPr>
                <w:rFonts w:hint="eastAsia" w:ascii="宋体" w:hAnsi="宋体" w:eastAsia="宋体" w:cs="宋体"/>
                <w:color w:val="auto"/>
                <w:sz w:val="24"/>
                <w:szCs w:val="24"/>
              </w:rPr>
            </w:pPr>
          </w:p>
        </w:tc>
        <w:tc>
          <w:tcPr>
            <w:tcW w:w="25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稳定系数</w:t>
            </w:r>
          </w:p>
        </w:tc>
        <w:tc>
          <w:tcPr>
            <w:tcW w:w="579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≥1.55（ISO 1074），并提供计算报告</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PrEx>
        <w:trPr>
          <w:trHeight w:val="689" w:hRule="atLeast"/>
          <w:jc w:val="center"/>
        </w:trPr>
        <w:tc>
          <w:tcPr>
            <w:tcW w:w="735" w:type="dxa"/>
            <w:tcBorders>
              <w:top w:val="single" w:color="auto" w:sz="4" w:space="0"/>
              <w:left w:val="single" w:color="auto" w:sz="4" w:space="0"/>
              <w:bottom w:val="single" w:color="auto" w:sz="4" w:space="0"/>
              <w:right w:val="single" w:color="auto" w:sz="4" w:space="0"/>
            </w:tcBorders>
            <w:noWrap w:val="0"/>
            <w:vAlign w:val="center"/>
          </w:tcPr>
          <w:p>
            <w:pPr>
              <w:numPr>
                <w:ilvl w:val="0"/>
                <w:numId w:val="1"/>
              </w:numPr>
              <w:spacing w:line="360" w:lineRule="auto"/>
              <w:ind w:left="425" w:leftChars="0" w:hanging="425" w:firstLineChars="0"/>
              <w:jc w:val="center"/>
              <w:rPr>
                <w:rFonts w:hint="eastAsia" w:ascii="宋体" w:hAnsi="宋体" w:eastAsia="宋体" w:cs="宋体"/>
                <w:color w:val="auto"/>
                <w:sz w:val="24"/>
                <w:szCs w:val="24"/>
              </w:rPr>
            </w:pPr>
          </w:p>
        </w:tc>
        <w:tc>
          <w:tcPr>
            <w:tcW w:w="25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szCs w:val="24"/>
              </w:rPr>
            </w:pPr>
            <w:r>
              <w:rPr>
                <w:rFonts w:hint="eastAsia" w:ascii="宋体" w:hAnsi="宋体" w:eastAsia="宋体" w:cs="宋体"/>
                <w:b/>
                <w:bCs/>
                <w:color w:val="auto"/>
                <w:sz w:val="24"/>
                <w:szCs w:val="24"/>
                <w:lang w:val="en-US" w:eastAsia="zh-CN"/>
              </w:rPr>
              <w:t>★</w:t>
            </w:r>
            <w:r>
              <w:rPr>
                <w:rFonts w:hint="eastAsia" w:ascii="宋体" w:hAnsi="宋体" w:eastAsia="宋体" w:cs="宋体"/>
                <w:color w:val="auto"/>
                <w:sz w:val="24"/>
                <w:szCs w:val="24"/>
              </w:rPr>
              <w:t>驾驶室</w:t>
            </w:r>
          </w:p>
        </w:tc>
        <w:tc>
          <w:tcPr>
            <w:tcW w:w="579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噪音等级≤72dB,配备全车自动灭火功能，具有驾驶室一键移动功能，对讲系统，驾驶舱扩音装置。</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PrEx>
        <w:trPr>
          <w:trHeight w:val="482" w:hRule="atLeast"/>
          <w:jc w:val="center"/>
        </w:trPr>
        <w:tc>
          <w:tcPr>
            <w:tcW w:w="735" w:type="dxa"/>
            <w:tcBorders>
              <w:top w:val="single" w:color="auto" w:sz="4" w:space="0"/>
              <w:left w:val="single" w:color="auto" w:sz="4" w:space="0"/>
              <w:bottom w:val="single" w:color="auto" w:sz="4" w:space="0"/>
              <w:right w:val="single" w:color="auto" w:sz="4" w:space="0"/>
            </w:tcBorders>
            <w:noWrap w:val="0"/>
            <w:vAlign w:val="center"/>
          </w:tcPr>
          <w:p>
            <w:pPr>
              <w:numPr>
                <w:ilvl w:val="0"/>
                <w:numId w:val="1"/>
              </w:numPr>
              <w:spacing w:line="360" w:lineRule="auto"/>
              <w:ind w:left="425" w:leftChars="0" w:hanging="425" w:firstLineChars="0"/>
              <w:jc w:val="center"/>
              <w:rPr>
                <w:rFonts w:hint="eastAsia" w:ascii="宋体" w:hAnsi="宋体" w:eastAsia="宋体" w:cs="宋体"/>
                <w:color w:val="auto"/>
                <w:sz w:val="24"/>
                <w:szCs w:val="24"/>
              </w:rPr>
            </w:pPr>
          </w:p>
        </w:tc>
        <w:tc>
          <w:tcPr>
            <w:tcW w:w="25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szCs w:val="24"/>
              </w:rPr>
            </w:pPr>
            <w:r>
              <w:rPr>
                <w:rFonts w:hint="eastAsia" w:ascii="宋体" w:hAnsi="宋体" w:eastAsia="宋体" w:cs="宋体"/>
                <w:b/>
                <w:bCs/>
                <w:color w:val="auto"/>
                <w:sz w:val="24"/>
                <w:szCs w:val="24"/>
                <w:lang w:val="en-US" w:eastAsia="zh-CN"/>
              </w:rPr>
              <w:t>★</w:t>
            </w:r>
            <w:r>
              <w:rPr>
                <w:rFonts w:hint="eastAsia" w:ascii="宋体" w:hAnsi="宋体" w:eastAsia="宋体" w:cs="宋体"/>
                <w:color w:val="auto"/>
                <w:sz w:val="24"/>
                <w:szCs w:val="24"/>
              </w:rPr>
              <w:t>视频监控</w:t>
            </w:r>
          </w:p>
        </w:tc>
        <w:tc>
          <w:tcPr>
            <w:tcW w:w="579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配备倒车影像及倒车雷达</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PrEx>
        <w:trPr>
          <w:trHeight w:val="510" w:hRule="atLeast"/>
          <w:jc w:val="center"/>
        </w:trPr>
        <w:tc>
          <w:tcPr>
            <w:tcW w:w="735" w:type="dxa"/>
            <w:tcBorders>
              <w:top w:val="single" w:color="auto" w:sz="4" w:space="0"/>
              <w:left w:val="single" w:color="auto" w:sz="4" w:space="0"/>
              <w:bottom w:val="single" w:color="auto" w:sz="4" w:space="0"/>
              <w:right w:val="single" w:color="auto" w:sz="4" w:space="0"/>
            </w:tcBorders>
            <w:noWrap w:val="0"/>
            <w:vAlign w:val="center"/>
          </w:tcPr>
          <w:p>
            <w:pPr>
              <w:numPr>
                <w:ilvl w:val="0"/>
                <w:numId w:val="1"/>
              </w:numPr>
              <w:spacing w:line="360" w:lineRule="auto"/>
              <w:ind w:left="425" w:leftChars="0" w:hanging="425" w:firstLineChars="0"/>
              <w:jc w:val="center"/>
              <w:rPr>
                <w:rFonts w:hint="eastAsia" w:ascii="宋体" w:hAnsi="宋体" w:eastAsia="宋体" w:cs="宋体"/>
                <w:color w:val="auto"/>
                <w:sz w:val="24"/>
                <w:szCs w:val="24"/>
              </w:rPr>
            </w:pPr>
          </w:p>
        </w:tc>
        <w:tc>
          <w:tcPr>
            <w:tcW w:w="25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szCs w:val="24"/>
              </w:rPr>
            </w:pPr>
            <w:r>
              <w:rPr>
                <w:rFonts w:hint="eastAsia" w:ascii="宋体" w:hAnsi="宋体" w:eastAsia="宋体" w:cs="宋体"/>
                <w:b/>
                <w:bCs/>
                <w:color w:val="auto"/>
                <w:sz w:val="24"/>
                <w:szCs w:val="24"/>
                <w:lang w:val="en-US" w:eastAsia="zh-CN"/>
              </w:rPr>
              <w:t>★</w:t>
            </w:r>
            <w:r>
              <w:rPr>
                <w:rFonts w:hint="eastAsia" w:ascii="宋体" w:hAnsi="宋体" w:eastAsia="宋体" w:cs="宋体"/>
                <w:color w:val="auto"/>
                <w:sz w:val="24"/>
                <w:szCs w:val="24"/>
              </w:rPr>
              <w:t>精准称重</w:t>
            </w:r>
          </w:p>
        </w:tc>
        <w:tc>
          <w:tcPr>
            <w:tcW w:w="579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配精准称重、超偏载打印系统，误差500KG以内</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PrEx>
        <w:trPr>
          <w:trHeight w:val="510" w:hRule="atLeast"/>
          <w:jc w:val="center"/>
        </w:trPr>
        <w:tc>
          <w:tcPr>
            <w:tcW w:w="735" w:type="dxa"/>
            <w:tcBorders>
              <w:top w:val="single" w:color="auto" w:sz="4" w:space="0"/>
              <w:left w:val="single" w:color="auto" w:sz="4" w:space="0"/>
              <w:bottom w:val="single" w:color="auto" w:sz="4" w:space="0"/>
              <w:right w:val="single" w:color="auto" w:sz="4" w:space="0"/>
            </w:tcBorders>
            <w:noWrap w:val="0"/>
            <w:vAlign w:val="center"/>
          </w:tcPr>
          <w:p>
            <w:pPr>
              <w:numPr>
                <w:ilvl w:val="0"/>
                <w:numId w:val="1"/>
              </w:numPr>
              <w:spacing w:line="360" w:lineRule="auto"/>
              <w:ind w:left="425" w:leftChars="0" w:hanging="425" w:firstLineChars="0"/>
              <w:jc w:val="center"/>
              <w:rPr>
                <w:rFonts w:hint="eastAsia" w:ascii="宋体" w:hAnsi="宋体" w:eastAsia="宋体" w:cs="宋体"/>
                <w:color w:val="auto"/>
                <w:sz w:val="24"/>
                <w:szCs w:val="24"/>
              </w:rPr>
            </w:pPr>
          </w:p>
        </w:tc>
        <w:tc>
          <w:tcPr>
            <w:tcW w:w="25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w:t>
            </w:r>
            <w:r>
              <w:rPr>
                <w:rFonts w:hint="eastAsia" w:ascii="宋体" w:hAnsi="宋体" w:eastAsia="宋体" w:cs="宋体"/>
                <w:color w:val="auto"/>
                <w:sz w:val="24"/>
                <w:szCs w:val="24"/>
              </w:rPr>
              <w:t>照明</w:t>
            </w:r>
          </w:p>
        </w:tc>
        <w:tc>
          <w:tcPr>
            <w:tcW w:w="579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全车采用LED灯光系统，采用集中面板控制，并具有短路、断路诊断。</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车辆前方：4个前照灯、2个转向灯、2个示宽灯。</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车辆后方：2个转向灯、2个示宽灯、2个制动灯、2个倒车灯。 </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工作灯：吊具锁头处2个工作灯、起重臂中部4个工作灯、车辆后方2个工作灯。</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警灯：起重臂后方1个危险警示灯。若夜间作业照明全开的情况下，40公分距离能看清小四字体。</w:t>
            </w:r>
          </w:p>
        </w:tc>
      </w:tr>
    </w:tbl>
    <w:p>
      <w:pPr>
        <w:pStyle w:val="3"/>
        <w:keepNext/>
        <w:keepLines/>
        <w:pageBreakBefore w:val="0"/>
        <w:widowControl w:val="0"/>
        <w:kinsoku/>
        <w:wordWrap/>
        <w:overflowPunct/>
        <w:topLinePunct w:val="0"/>
        <w:autoSpaceDE/>
        <w:autoSpaceDN/>
        <w:bidi w:val="0"/>
        <w:adjustRightInd/>
        <w:snapToGrid/>
        <w:spacing w:before="0" w:after="0" w:line="360" w:lineRule="auto"/>
        <w:ind w:firstLine="480" w:firstLineChars="200"/>
        <w:jc w:val="left"/>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注：加“▲”号的为实质性效应参数，若未响应，则为无效标，加“★”号的为重要参数。</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.2  一般参数</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.2.1 吊具</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）吊具水平回转≥+180°/-105。左右位移每侧≥700mm</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具有足够的强度和刚度。</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）吊具的对箱（找箱）、上锁及起升必须有信号灯显示工作状态，提供信息给司机进行安全操作。传送给信号灯的信号是靠安装在吊具、臂架和桥上的传感器进行监测。任何的错误信号将导致设备无法起升。</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吊具的伸缩、旋转、开闭动作应灵活可靠，具有旋锁保护装置，确保一个旋锁不在“全开”或“全锁”位置时，不能进行操作，且不能复位进行屏蔽。应有开闭和着床指示灯，悬锁工作有警示一并反馈给操作者。吊具需采用数字电子控制方式，控制模块需与驾驶室内控制终端连接，不能采用继电器控制方式。</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）吊具伸缩油管和电缆的支承装置采用外置式，应具有较强的抗冲击及拉伸能力，方便检查维修，吊具重量不大于7吨。</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）吊具应是水平并具有纵向翻转功能,翻转角度≥±3°。</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）液压和电器部件上的护罩应是防水的。</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）吊具最小离地间距不高于1300mm，吊具四角均有大件吊装用挂钩（每个挂钩承载≥10T），方便吊带的拆装。</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）吊具的旋转通过装在轭部上的两个油马达进行。油马达必须有足够的制动能力。</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.2.2  起升大臂</w:t>
      </w:r>
      <w:r>
        <w:rPr>
          <w:rFonts w:hint="eastAsia" w:ascii="宋体" w:hAnsi="宋体" w:eastAsia="宋体" w:cs="宋体"/>
          <w:color w:val="auto"/>
          <w:sz w:val="24"/>
          <w:szCs w:val="24"/>
        </w:rPr>
        <w:tab/>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1）两节伸缩式，保证足够的强度。</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2）起升油缸：单级起升油缸2件，分别安装于大臂两侧。</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3）伸缩油缸：双作用式伸缩油缸1件，安装于大臂内侧。</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4）大臂伸缩油管和电缆的支承装置采用外置式，应具有较强的抗冲击及拉伸能力，保证工作可靠。</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5）主臂变幅最大角度≥60°。</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.2.3 发动机</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1）正面吊装配涡轮增压、四冲程、水冷、大功率的工业发动机柴油发动机。发动机的启动采用24伏的启动马达启动。发动机固定必须牢固，且能够适应恶劣的气候条件。</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2）发动机的输出功率：不低于260千瓦。</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3）废气排放—正面吊装配的发动机必须符合中国标准的规定及符合欧洲Ⅲ号标准，并提供环保信息标签铭牌。</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4）必须装配可更换的燃油、润滑油及大容量空气滤芯。同时燃油路必须装有油水分离器滤芯。滤芯及油水分离器在保养时能容易地进行更换。</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5）发动机与机架之间应有足够的空间保证发动机的外部元件（即滤芯、马达、压缩机、油水分离器等）容易进行维修。</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6）空气滤芯。空气滤芯及其集气室必须是可分离的，选用旋风式、两级纸质圆筒式滤清器，并在适当位置安装滤清器堵塞指示器；空气滤芯进气口应高于地面1.8米（提供佐证图片）。 </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7）发动机切断。发动机的切断必须是电子控制式。</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8）发动机检测系统：</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a）必须具备发动机机油油压、冷却水位、发动机温度的检测。当发动机机油压力低于最低工作压力的30%（怠速时）左右，或冷却水位低于最低水位（警戒线），或发动机过热（最高警戒温度）时，位于驾驶室内部仪表上的要有警报灯亮明，同时因发出报警声。</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b）水温感应塞应尽量安装在发动机机体靠近燃烧室的位置，使发动机最高温度同水温感应塞感应的温度之间的差别尽量减少。</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9）排气系统：</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a）排气系统必须是大容量的，排气管应安装在一个朝上、干燥的位置，出气弯头能够防止雨水的进入。设计上允许不加盖。        </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b）位于驾驶室附近的排气管必须有用合适的材料隔离保护。必须安装合适的排气管及消音器来降低油烟与噪声污染。</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c）为避免对司机及其他接近正面吊的人员伤害，废气的排放必须朝着较高、向上方向。</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10）空气进气口及滤芯必须位于排气管的另一侧以避免排气油烟的吸入，并且能够防止雨水的进入。</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11）散热器：</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a)必须采用合适规格、风扇强制冷却水循环系统的水箱。</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b)水箱必须能够在所处的各种温度及环境下有效地工作。水箱必须独立固定在车架上以避免震动和破损。支架不能固定在发动机机体上。</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c)水箱容量不能低于发动机厂家要求的容量。</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d)水箱外部必须有化学防腐材料保护。</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e)水箱上必须有水位感应塞。在正面吊驾驶室内部仪表盘上必须配备电子水位表及警报灯。</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12）燃油箱</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a)燃油箱容量必须满足连续24小时作业的需求。 </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b)必须有一个燃油位目视表。在正面吊驾驶室内部仪表盘上必须配有一个电子油位表。油箱必须有一个带盖的加油口，加油口直径不少于70毫米。燃油箱的设计必须保证油箱内的燃油最大限度的使用。残留的燃油必须保留到最少。</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c)滤网</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燃油箱加油口必须配备滤网，油箱底部必须配一个放油塞来进行放油及清洗。</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.2.4传动系统</w:t>
      </w:r>
      <w:r>
        <w:rPr>
          <w:rFonts w:hint="eastAsia" w:ascii="宋体" w:hAnsi="宋体" w:eastAsia="宋体" w:cs="宋体"/>
          <w:color w:val="auto"/>
          <w:sz w:val="24"/>
          <w:szCs w:val="24"/>
        </w:rPr>
        <w:tab/>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1）选用的自动变速箱，带有数字诊断系统。</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2）变速器：要求前进、后退同速，前进档和后退档具有四个以上的自动档位，且具有前进和后退换档保护装置。</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.2.5液力及液压系统</w:t>
      </w:r>
      <w:r>
        <w:rPr>
          <w:rFonts w:hint="eastAsia" w:ascii="宋体" w:hAnsi="宋体" w:eastAsia="宋体" w:cs="宋体"/>
          <w:color w:val="auto"/>
          <w:sz w:val="24"/>
          <w:szCs w:val="24"/>
        </w:rPr>
        <w:tab/>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1）工作泵为柱塞变量泵，泵带空气自动排放系统，优先采用优质品牌。</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2）液力及液压系统应有测试点，测试点的位置应容易接近，便于检测。</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3）元件和密封件采用国际著名专业生产厂的产品（不得有渗油现象）。</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4）液压系统应反应灵敏，控制准确，传动平稳。液压管路的布置应整齐、牢固、合理，便于维修。</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5）散热效果好，液压油温不超过75度。</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6）液压分配器应采用铸钢材料。</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7）液压油箱容量不大于600升。</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8）液压系统最大溢流压力≤28Mpa.</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.2.6  制动系统</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1）行车制动器：选用湿式多片离合器式制动器，要求制动平稳、可靠。</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2）停车制动器：其制动效果应满足额定载荷在30%的坡度上能够停车。</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3）制动系统若有气路，应有防冻装置。</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4）制动系统具有独立油箱及散热器。</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.2.7  转向系统</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1）采用全液压转向，转向液压油缸采用双向作用式油缸。</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2）要求转向操作轻便，可靠性高。</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3）方向盘为可调整式。</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.2.8  前后车桥</w:t>
      </w:r>
    </w:p>
    <w:p>
      <w:pPr>
        <w:spacing w:line="360" w:lineRule="auto"/>
        <w:ind w:firstLine="480" w:firstLineChars="200"/>
        <w:rPr>
          <w:rFonts w:hint="eastAsia" w:ascii="宋体" w:hAnsi="宋体" w:eastAsia="宋体" w:cs="宋体"/>
          <w:color w:val="auto"/>
          <w:sz w:val="24"/>
          <w:szCs w:val="24"/>
          <w:highlight w:val="yellow"/>
        </w:rPr>
      </w:pPr>
      <w:r>
        <w:rPr>
          <w:rFonts w:hint="eastAsia" w:ascii="宋体" w:hAnsi="宋体" w:eastAsia="宋体" w:cs="宋体"/>
          <w:color w:val="auto"/>
          <w:sz w:val="24"/>
          <w:szCs w:val="24"/>
        </w:rPr>
        <w:t>1）驱动桥：适合低速重载作业工况，其静强度应大于最大桥负荷的1.4倍。</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2）转向桥：采用铰接式结构、焊接式桥体，装有两条轮胎。应装有柔性连接橡胶或液压减震装置，投标商应提供该装置工作原理的相关技术资料。</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3）轮胎：型号18.00-25尼龙真空胎，40层级以上。</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.2.9  润滑</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将附有加油点和润滑周期的铭牌装在车身的适当位置。</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.2.10  驾驶室</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1）要求司机视野宽阔，司机耳边噪音≯72dB。</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2）驾驶室为可移动式，并具有隔热、防尘、防水等功能。</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3）驾驶室内安装空调器，具备制冷、制热功能，适应于南方气候，保证驾驶室内温度16℃~25℃。</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4）驾驶员操作要符合人类环境工程学。</w:t>
      </w:r>
    </w:p>
    <w:p>
      <w:pPr>
        <w:spacing w:line="360" w:lineRule="auto"/>
        <w:ind w:firstLine="480" w:firstLineChars="200"/>
        <w:rPr>
          <w:rFonts w:hint="eastAsia" w:ascii="宋体" w:hAnsi="宋体" w:eastAsia="宋体" w:cs="宋体"/>
          <w:color w:val="auto"/>
          <w:sz w:val="24"/>
          <w:szCs w:val="24"/>
          <w:highlight w:val="yellow"/>
        </w:rPr>
      </w:pPr>
      <w:r>
        <w:rPr>
          <w:rFonts w:hint="eastAsia" w:ascii="宋体" w:hAnsi="宋体" w:eastAsia="宋体" w:cs="宋体"/>
          <w:color w:val="auto"/>
          <w:sz w:val="24"/>
          <w:szCs w:val="24"/>
        </w:rPr>
        <w:t>5）操作手柄、按钮等操作方便、灵活、耐用，并装有功能指示牌。开闭锁、侧移、吊具旋转应由各自不同的按钮分别控制。驾驶室内显示屏采用滚动菜单式，可显示故障代码，增加辅助</w:t>
      </w:r>
      <w:r>
        <w:rPr>
          <w:rFonts w:hint="eastAsia" w:ascii="宋体" w:hAnsi="宋体" w:eastAsia="宋体" w:cs="宋体"/>
          <w:color w:val="auto"/>
          <w:sz w:val="24"/>
          <w:szCs w:val="24"/>
          <w:highlight w:val="none"/>
        </w:rPr>
        <w:t>功能，如对讲系统、驾驶舱扩音装置，需配备品牌且实用的设备。</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6）所有玻璃应采用安全玻璃，前、后和顶风档玻璃处装有清洗器和刮水器，前、后风档玻璃处还应装有除霜装置。</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7）合理设置载荷曲线标牌，并在投标文件中提供载荷曲线图。</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8）司机座椅乘坐舒适，为可调整的全悬浮式座椅。</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9）驾驶室门在全开位置时应设有安全插座。驾驶室两侧装有倒车反光镜。</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10）投标时应针对驾驶室的安全性能及所能承受的设计冲击载荷进行说明。</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11）驾驶室须配备一个12V20A的通用插座.</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12）驾驶室须配备倒车影像。</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.2.11  仪表和各种指示器</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1）仪表：</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水温表</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计时表</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机油压力表</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燃油表</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变速箱油压表</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变速箱油温表</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制动压力表或指示灯</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充电指示灯</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2）指示器</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液压油滤清器阻塞指示器</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空气滤清器阻塞指示器</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制动压力报警器</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发动机机油压力警报器</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发动机机油温度警报器</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发动机水温警报器</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变速箱油温警报器</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驱车制动未联结警报器</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超载报警器</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.2.12  安全防护</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1）正面吊应配备电子控制系统，能够对正面吊的运行进行控制、显示、诊断和安全监测等，能通过远程手机或C端实时监测，并提供图片佐证。</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2）驾驶室应有起升过载保护指示器。</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3）臂架俯仰、伸缩应有极限减速装置。</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4）正面吊应配置倒车雷达系统。</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5）正面吊动力系统、传动系统应配置干粉自动灭火系统，自动触发。</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.2.13  电气系统</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整车电气系统应采用电脑数字模块控制，可通过移动终端远程实时监控设备的使用情况、故障代码、油耗等。此控制系统应管理所有正面吊的系统，并能方便添加新的功能，对于发动机、变速箱、吊具、安全保护、灯光、起升系统有分置的独立的控制单元（电脑模块）。驾驶室内显示屏应可显示故障代码，并具备故障自动诊断功能，同时整车电器系统需带有备用线路，以最大限度减少因设备故障导致的停机时间。工作电压选用24V。蓄电池有较大的容量。</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2）独立的电脑模块控制单元应具有内部程序的删除和重装功能。</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3）车辆前部及后部分别安装照明灯，并保证工作区域内照度不小于50Lx。</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4）车辆前部两侧及后部两侧分别安装视宽灯各1件和转向指示灯各1件。</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5）车辆后部两侧分别安装制动指示灯各1件。</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6）吊具上安装照明灯，并保证工作区域内照度不小于80Lx。</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7）配置有工作警示灯（黄色）。</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8）整机工作照明采用LED照明。</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9）电线：电线布置合理、捆扎牢固，接线端应有线号，线与金属接触部位装有耐磨电线保护套。全车电缆应采用阻燃型电缆。</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10）驾驶室内配置与吊具同步的转锁、顶销指示灯。</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11）具有吊箱联锁保护功能，吊具具有旋锁保护装置，确保一个旋锁不在“全开”或“全锁”位置时，不能起升进行操作，且不能复位进行屏蔽，应确保故障彻底排除方能正常作业。</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12）驾驶室内配置吊具转锁与顶销联锁旁路按钮开关。</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.3 材料</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.3.1 所有材料应满足设计载荷的强度和刚度要求，并应符合所用的有关标准。</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.3.2 所有的钢板应无锈、无氧化皮，必须无任何缺陷。所有的铸件必须表面光滑、轮廓分明、外型端正规范，并必须无气孔、缩孔和夹渣等缺陷。</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.4工艺</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.4.1 所有的机械零件应达到性能要求及有关规范所规定的淬硬层深度和硬度的要求。</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.4.2 所有的焊接工艺和焊接质量应符合有关规范要求，选择的焊接材料的抗拉强度均应与主体金属的强度相适应。投标人应说明检验焊接所采用的方法，并提供主要受力焊接部位的检验报告。</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.4.3 采用螺栓联接的钢结构，应准确钻孔，不允许采用冲孔和气割割孔。</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.5 车架结构</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.5.1 车架应是用优质钢材制造的全焊接结构，对于封闭式焊接箱型结构，应进行气密试验，否则内表面应涂漆。</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.5.2 车架应具有足够的强度和刚度以抵抗扭转和冲击载荷。</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.5.3 车架的设计应考虑各部件检查、维修、更换的方便。</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.5.4最小离地间隙≤380mm</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.6表面处理和涂漆</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.6.1 钢结构的表面处理和涂漆应符合当地工作情况。</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.6.2 所采用的油漆应适合使用地区的气候环境条件。</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.6.3 结构所有内表面经过处理后应按标准涂漆。</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.6.4 投标人应对在运输、安装和调试过程中损坏的涂漆进行修补。</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.6.5 投标人应提供适量的所使用的罐装自喷油漆作为补漆备用，并应与正面吊一起供应给采购人。</w:t>
      </w:r>
    </w:p>
    <w:p>
      <w:pPr>
        <w:pStyle w:val="2"/>
        <w:ind w:left="0" w:leftChars="0" w:firstLine="480" w:firstLineChars="200"/>
        <w:rPr>
          <w:rFonts w:hint="default"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2、样式（如下图）</w:t>
      </w:r>
    </w:p>
    <w:p>
      <w:pPr>
        <w:spacing w:line="360" w:lineRule="auto"/>
        <w:ind w:left="476" w:leftChars="170" w:firstLine="0" w:firstLineChars="0"/>
        <w:rPr>
          <w:rFonts w:hint="eastAsia" w:ascii="宋体" w:hAnsi="宋体" w:eastAsia="宋体" w:cs="宋体"/>
          <w:b/>
          <w:bCs/>
          <w:color w:val="auto"/>
          <w:sz w:val="24"/>
          <w:szCs w:val="24"/>
          <w:lang w:val="en-US" w:eastAsia="zh-CN"/>
        </w:rPr>
      </w:pPr>
      <w:bookmarkStart w:id="0" w:name="_Toc9205"/>
      <w:bookmarkStart w:id="1" w:name="_Toc32439"/>
      <w:bookmarkStart w:id="2" w:name="_Toc26990"/>
      <w:bookmarkStart w:id="3" w:name="_Toc30257"/>
      <w:bookmarkStart w:id="4" w:name="_Toc2079"/>
      <w:bookmarkStart w:id="5" w:name="_Toc30754"/>
      <w:bookmarkStart w:id="6" w:name="_Toc27179"/>
      <w:bookmarkStart w:id="7" w:name="_Toc32689"/>
      <w:bookmarkStart w:id="8" w:name="_Toc26179"/>
      <w:bookmarkStart w:id="9" w:name="_Toc26250"/>
      <w:r>
        <w:rPr>
          <w:rFonts w:hint="eastAsia" w:ascii="宋体" w:hAnsi="宋体" w:eastAsia="宋体" w:cs="宋体"/>
          <w:b/>
          <w:bCs/>
          <w:color w:val="auto"/>
          <w:sz w:val="24"/>
          <w:szCs w:val="24"/>
          <w:lang w:val="en-US" w:eastAsia="zh-CN"/>
        </w:rPr>
        <w:drawing>
          <wp:inline distT="0" distB="0" distL="114300" distR="114300">
            <wp:extent cx="5988050" cy="5838825"/>
            <wp:effectExtent l="0" t="0" r="12700" b="9525"/>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
                    <pic:cNvPicPr>
                      <a:picLocks noChangeAspect="1"/>
                    </pic:cNvPicPr>
                  </pic:nvPicPr>
                  <pic:blipFill>
                    <a:blip r:embed="rId4"/>
                    <a:stretch>
                      <a:fillRect/>
                    </a:stretch>
                  </pic:blipFill>
                  <pic:spPr>
                    <a:xfrm>
                      <a:off x="0" y="0"/>
                      <a:ext cx="5988050" cy="5838825"/>
                    </a:xfrm>
                    <a:prstGeom prst="rect">
                      <a:avLst/>
                    </a:prstGeom>
                    <a:noFill/>
                    <a:ln>
                      <a:noFill/>
                    </a:ln>
                  </pic:spPr>
                </pic:pic>
              </a:graphicData>
            </a:graphic>
          </wp:inline>
        </w:drawing>
      </w:r>
    </w:p>
    <w:p>
      <w:pPr>
        <w:spacing w:line="360" w:lineRule="auto"/>
        <w:ind w:left="476" w:leftChars="170" w:firstLine="0" w:firstLineChars="0"/>
        <w:rPr>
          <w:rFonts w:hint="eastAsia" w:ascii="宋体" w:hAnsi="宋体" w:eastAsia="宋体" w:cs="宋体"/>
          <w:b/>
          <w:bCs/>
          <w:color w:val="auto"/>
          <w:sz w:val="24"/>
          <w:szCs w:val="24"/>
          <w:lang w:val="en-US" w:eastAsia="zh-CN"/>
        </w:rPr>
      </w:pPr>
      <w:r>
        <w:rPr>
          <w:rFonts w:hint="eastAsia" w:eastAsia="宋体"/>
          <w:b/>
          <w:bCs/>
          <w:color w:val="auto"/>
          <w:sz w:val="28"/>
          <w:szCs w:val="28"/>
          <w:lang w:val="en-US" w:eastAsia="zh-CN"/>
        </w:rPr>
        <w:t>此图仅作为样式参考，非最终供货产品。</w:t>
      </w:r>
    </w:p>
    <w:p>
      <w:pPr>
        <w:spacing w:line="360" w:lineRule="auto"/>
        <w:ind w:left="476" w:leftChars="170" w:firstLine="0" w:firstLineChars="0"/>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3、</w:t>
      </w:r>
      <w:r>
        <w:rPr>
          <w:rFonts w:hint="eastAsia" w:ascii="宋体" w:hAnsi="宋体" w:eastAsia="宋体" w:cs="宋体"/>
          <w:b/>
          <w:bCs/>
          <w:color w:val="auto"/>
          <w:sz w:val="24"/>
          <w:szCs w:val="24"/>
        </w:rPr>
        <w:t>备品配件</w:t>
      </w:r>
      <w:bookmarkEnd w:id="0"/>
      <w:bookmarkEnd w:id="1"/>
      <w:bookmarkEnd w:id="2"/>
      <w:bookmarkEnd w:id="3"/>
      <w:bookmarkEnd w:id="4"/>
      <w:bookmarkEnd w:id="5"/>
      <w:bookmarkEnd w:id="6"/>
      <w:bookmarkEnd w:id="7"/>
      <w:bookmarkEnd w:id="8"/>
      <w:bookmarkEnd w:id="9"/>
    </w:p>
    <w:p>
      <w:pPr>
        <w:spacing w:line="360" w:lineRule="auto"/>
        <w:ind w:firstLine="480" w:firstLineChars="200"/>
        <w:rPr>
          <w:rFonts w:hint="eastAsia" w:ascii="宋体" w:hAnsi="宋体" w:eastAsia="宋体" w:cs="宋体"/>
          <w:color w:val="auto"/>
          <w:sz w:val="24"/>
          <w:szCs w:val="24"/>
        </w:rPr>
      </w:pPr>
      <w:bookmarkStart w:id="10" w:name="_Toc6152"/>
      <w:bookmarkStart w:id="11" w:name="_Toc15924"/>
      <w:bookmarkStart w:id="12" w:name="_Toc28670"/>
      <w:bookmarkStart w:id="13" w:name="_Toc4270"/>
      <w:bookmarkStart w:id="14" w:name="_Toc13860"/>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.1投标人应提供随机工具一套。</w:t>
      </w:r>
      <w:bookmarkEnd w:id="10"/>
      <w:bookmarkEnd w:id="11"/>
      <w:bookmarkEnd w:id="12"/>
      <w:bookmarkEnd w:id="13"/>
      <w:bookmarkEnd w:id="14"/>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.2操作手册、保养手册、维修手册各1套，配件目录2套，其费用包括在总价中（各手册至少提供一套中文）。</w:t>
      </w:r>
    </w:p>
    <w:p>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b/>
          <w:color w:val="auto"/>
          <w:sz w:val="24"/>
          <w:szCs w:val="24"/>
          <w:lang w:val="en-US" w:eastAsia="zh-CN"/>
        </w:rPr>
        <w:t>4</w:t>
      </w:r>
      <w:r>
        <w:rPr>
          <w:rFonts w:hint="eastAsia" w:ascii="宋体" w:hAnsi="宋体" w:eastAsia="宋体" w:cs="宋体"/>
          <w:b/>
          <w:color w:val="auto"/>
          <w:sz w:val="24"/>
          <w:szCs w:val="24"/>
        </w:rPr>
        <w:t>、服务期限</w:t>
      </w:r>
    </w:p>
    <w:p>
      <w:pPr>
        <w:spacing w:line="360" w:lineRule="auto"/>
        <w:ind w:firstLine="480" w:firstLineChars="200"/>
        <w:rPr>
          <w:rFonts w:hint="eastAsia" w:ascii="宋体" w:hAnsi="宋体" w:eastAsia="宋体" w:cs="宋体"/>
          <w:color w:val="auto"/>
          <w:sz w:val="24"/>
          <w:szCs w:val="24"/>
          <w:lang w:val="en-US" w:eastAsia="zh-CN"/>
        </w:rPr>
      </w:pPr>
      <w:bookmarkStart w:id="15" w:name="_Toc80695437"/>
      <w:r>
        <w:rPr>
          <w:rFonts w:hint="eastAsia" w:ascii="宋体" w:hAnsi="宋体" w:eastAsia="宋体" w:cs="宋体"/>
          <w:color w:val="auto"/>
          <w:sz w:val="24"/>
          <w:szCs w:val="24"/>
          <w:lang w:val="en-US" w:eastAsia="zh-CN"/>
        </w:rPr>
        <w:t>4.1签订合同</w:t>
      </w:r>
      <w:r>
        <w:rPr>
          <w:rFonts w:hint="eastAsia" w:ascii="宋体" w:hAnsi="宋体" w:eastAsia="宋体" w:cs="宋体"/>
          <w:color w:val="auto"/>
          <w:sz w:val="24"/>
          <w:szCs w:val="24"/>
        </w:rPr>
        <w:t>后的</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0日</w:t>
      </w:r>
      <w:r>
        <w:rPr>
          <w:rFonts w:hint="eastAsia" w:ascii="宋体" w:hAnsi="宋体" w:eastAsia="宋体" w:cs="宋体"/>
          <w:color w:val="auto"/>
          <w:sz w:val="24"/>
          <w:szCs w:val="24"/>
          <w:lang w:val="en-US" w:eastAsia="zh-CN"/>
        </w:rPr>
        <w:t>历天</w:t>
      </w:r>
      <w:r>
        <w:rPr>
          <w:rFonts w:hint="eastAsia" w:ascii="宋体" w:hAnsi="宋体" w:eastAsia="宋体" w:cs="宋体"/>
          <w:color w:val="auto"/>
          <w:sz w:val="24"/>
          <w:szCs w:val="24"/>
        </w:rPr>
        <w:t>内完成本项目采购范围内的供货、安装并调试完毕，并提交完整的技术资料向采购人申请验收</w:t>
      </w:r>
      <w:r>
        <w:rPr>
          <w:rFonts w:hint="eastAsia" w:ascii="宋体" w:hAnsi="宋体" w:eastAsia="宋体" w:cs="宋体"/>
          <w:color w:val="auto"/>
          <w:sz w:val="24"/>
          <w:szCs w:val="24"/>
          <w:lang w:eastAsia="zh-CN"/>
        </w:rPr>
        <w:t>。</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4.2</w:t>
      </w:r>
      <w:r>
        <w:rPr>
          <w:rFonts w:hint="eastAsia" w:ascii="宋体" w:hAnsi="宋体" w:eastAsia="宋体" w:cs="宋体"/>
          <w:color w:val="auto"/>
          <w:sz w:val="24"/>
          <w:szCs w:val="24"/>
        </w:rPr>
        <w:t>质保期：整机质保2年或4000小时（发动机运行时间）（先到为准）。</w:t>
      </w:r>
    </w:p>
    <w:p>
      <w:pPr>
        <w:pStyle w:val="4"/>
        <w:spacing w:before="0" w:after="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二</w:t>
      </w:r>
      <w:r>
        <w:rPr>
          <w:rFonts w:hint="eastAsia" w:ascii="宋体" w:hAnsi="宋体" w:eastAsia="宋体" w:cs="宋体"/>
          <w:color w:val="auto"/>
          <w:sz w:val="24"/>
          <w:szCs w:val="24"/>
        </w:rPr>
        <w:t>、质量、售后服务要求</w:t>
      </w:r>
      <w:bookmarkEnd w:id="15"/>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投标人拟提供的产品、设备必须是原装（全新未曾使用）的合格产品、符合国家有关规定，凡涉及国家强制性检测的设备或部件须提供3C认证文件及其他检测证明文件。投标人拟提供的产品、设备必须证件齐全、保证质量，操作系统软件应符合相关质量要求。投标人所提供的设备附件与中标设备兼容匹配。</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（二）质量合格标准：一次性验收合格。设备质量及施工安装质量符合国家标准和招标文件的合格要求。</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（三）售后服务</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质保期：本项目质量保证期为中标人出具最终验收合格证明之日起2年或4000小时（发动机运行时间）（先到为准），另整机钢结构保修5年。质量保证期内发生故障，中标人应免费（人为损坏或意外事故的除外）提供咨询、更换损坏的零部件和维修服务。投标人如有额外延长的质保期，需技术标书中予以明确承诺，延长的质保期所产生的费用包含在中标总价内。质保期满后中标人须继续履行质保义务，维护费用另行协商。</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2.响应时间：在质保期限内，接到用户报修电话通知后，应在</w:t>
      </w:r>
      <w:r>
        <w:rPr>
          <w:rFonts w:hint="eastAsia" w:ascii="宋体" w:hAnsi="宋体" w:eastAsia="宋体" w:cs="宋体"/>
          <w:color w:val="auto"/>
          <w:sz w:val="24"/>
          <w:szCs w:val="24"/>
          <w:lang w:val="en-US" w:eastAsia="zh-CN"/>
        </w:rPr>
        <w:t>24</w:t>
      </w:r>
      <w:r>
        <w:rPr>
          <w:rFonts w:hint="eastAsia" w:ascii="宋体" w:hAnsi="宋体" w:eastAsia="宋体" w:cs="宋体"/>
          <w:color w:val="auto"/>
          <w:sz w:val="24"/>
          <w:szCs w:val="24"/>
        </w:rPr>
        <w:t>小时内上门服务，并在</w:t>
      </w:r>
      <w:r>
        <w:rPr>
          <w:rFonts w:hint="eastAsia" w:ascii="宋体" w:hAnsi="宋体" w:eastAsia="宋体" w:cs="宋体"/>
          <w:color w:val="auto"/>
          <w:sz w:val="24"/>
          <w:szCs w:val="24"/>
          <w:lang w:val="en-US" w:eastAsia="zh-CN"/>
        </w:rPr>
        <w:t>48</w:t>
      </w:r>
      <w:r>
        <w:rPr>
          <w:rFonts w:hint="eastAsia" w:ascii="宋体" w:hAnsi="宋体" w:eastAsia="宋体" w:cs="宋体"/>
          <w:color w:val="auto"/>
          <w:sz w:val="24"/>
          <w:szCs w:val="24"/>
        </w:rPr>
        <w:t>小时内修复。若无法按规定及时修复的须根据使用单位要求提供备用设备。</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（四）技术服务：要求中标设备随机资料需齐全，备品备件齐全有效。中标人对使用单位的操作人员进行现场培训，人数不少于二名。投标人如额外增加培训名额或进行厂家培训的，需技术标书中予以明确承诺。</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（五）培训要求:</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中标人在设备验收后须提供由有经验的培训师给采购人工程师和保养人员在采购人指定场地进行的培训，培训时间不少于2天。培训须包括教室内授课和设备上的实际操作课程。所有的实践说明书和培训手册必须采用中文。</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培训内容必须足够详细以便工程师能够进行设备上各种类型的故障排除及保养工作。</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中标人须附上给采购人工程师及保养人员的目标培训计划及大纲。培训内容包括技术参数、安全连锁性能、操作步骤、例行检查、安全操作及设备的电气机械元件的保养维修等。除了授课之外，在设备上进行实践操作以强化课堂授课所学到的知识，熟悉设备上各种不同方面的操作要求。</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中标人必须提供给采购人参加人数不少于2人，不少于5天的正面吊维修保养、故障排除的培训。培训地点应在采购人指定地点，并由授权工程师授课。培训所发生的差旅费、住宿费由中标人负责。中标人还必须免费提供必要的培训工具设备。</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中标人的培训期结束后如采购人认为需要更多的培训，中标人必须再进行该培训，且培训（原定的和另加的）是免费提供的，不需要有额外的费用。</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（六）投标人应说明其技术来源及其特点，技术来源应有文字材料，如技术支持函、合作证明材料、技术引进材料等。</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（1）集装箱正面吊说明书及维护手册；</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（2）装运方式和现场存放保管要求；</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（3）安装说明书；</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（4）调试说明书和手册；</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（5）运行维护说明书、手册及参考规程；</w:t>
      </w:r>
    </w:p>
    <w:p>
      <w:pPr>
        <w:spacing w:line="360" w:lineRule="auto"/>
        <w:ind w:firstLine="480" w:firstLineChars="200"/>
        <w:jc w:val="left"/>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三</w:t>
      </w:r>
      <w:r>
        <w:rPr>
          <w:rFonts w:hint="eastAsia" w:ascii="宋体" w:hAnsi="宋体" w:eastAsia="宋体" w:cs="宋体"/>
          <w:b/>
          <w:color w:val="auto"/>
          <w:sz w:val="24"/>
          <w:szCs w:val="24"/>
        </w:rPr>
        <w:t>、验收</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采购人有权对货物发货前进行检验或测试，可以参加出厂检验，以确认所投产品的制造工艺、原材料、质量等是否符合招标文件和投标时提供的样式要求，但不能作为最终验收的结果。中标人应为招标人检验和测试提供各种方便，并承担相应费用，如果检验或测试的产品不能满足招标要求，采购人可以拒绝接受，中标人应更换被拒绝的货物。如在生产过程中发现供应商使用材料不符合招标文件及投标文件承诺，供应商必须按招标文件及投标文件整改到位。货物交货前，中标人应自行对所投产品的材料、质量、样式等进行详细而全面的检验，提供权威部门出具的检测报告，该检验（检测）报告将作为采购人验收的重要依据。</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2）所有货物到达现场后，买方有权对货物进行抽样检测。抽样检测不合格的可以部分或全部拒收，由此对招标人造成的损失应给予经济赔偿。卖方必须派员到现场与买方一起清点检验,按供货清单验收,若有缺少或损坏，卖方应立即补足或更换全新同规格、同面料、同样式的产品，并承担相关费用直至使买方满意为止。 </w:t>
      </w:r>
    </w:p>
    <w:p>
      <w:pPr>
        <w:spacing w:line="360" w:lineRule="auto"/>
        <w:ind w:firstLine="480" w:firstLineChars="200"/>
        <w:rPr>
          <w:rFonts w:hint="eastAsia" w:ascii="宋体" w:hAnsi="宋体" w:eastAsia="宋体" w:cs="宋体"/>
          <w:b/>
          <w:color w:val="auto"/>
          <w:sz w:val="24"/>
          <w:szCs w:val="24"/>
          <w:highlight w:val="yellow"/>
        </w:rPr>
      </w:pPr>
      <w:r>
        <w:rPr>
          <w:rFonts w:hint="eastAsia" w:ascii="宋体" w:hAnsi="宋体" w:eastAsia="宋体" w:cs="宋体"/>
          <w:color w:val="auto"/>
          <w:sz w:val="24"/>
          <w:szCs w:val="24"/>
        </w:rPr>
        <w:t>（3）中标人已按合同规定提供了符合招标文件规定的要求的货物，并经有关部门检验合格，所有的技术资料和清单已向采购人提交并被接受，并且培训有关人员可以正常操作设备后，验收才视为合格，合同双方签署验收合格证书。 若因中标方制造工艺、质量问题等导致验收不合格，应及时予以处理，直至验收合格，期间发生的一切费用由中标方承担，采购人保留向中标方索赔的权利。中标方在所有货物的到货、验收期间应接受采购人的协调和管理，并采取严格的安全措施，承担由于自身原因所造成的事故责任及其发生的一切费用。</w:t>
      </w:r>
    </w:p>
    <w:p>
      <w:pPr>
        <w:pStyle w:val="9"/>
        <w:rPr>
          <w:rFonts w:hint="eastAsia"/>
          <w:color w:val="auto"/>
          <w:lang w:val="en-US" w:eastAsia="zh-CN"/>
        </w:rPr>
      </w:pPr>
    </w:p>
    <w:p>
      <w:pPr>
        <w:jc w:val="center"/>
        <w:rPr>
          <w:rFonts w:hint="eastAsia" w:ascii="方正小标宋简体" w:hAnsi="方正小标宋简体" w:eastAsia="方正小标宋简体" w:cs="方正小标宋简体"/>
          <w:color w:val="auto"/>
          <w:sz w:val="44"/>
          <w:szCs w:val="44"/>
          <w:lang w:val="en-US" w:eastAsia="zh-CN"/>
        </w:rPr>
      </w:pPr>
      <w:r>
        <w:rPr>
          <w:rFonts w:hint="eastAsia" w:hAnsi="宋体"/>
          <w:b/>
          <w:color w:val="auto"/>
          <w:sz w:val="40"/>
          <w:szCs w:val="22"/>
          <w:highlight w:val="none"/>
        </w:rPr>
        <w:br w:type="page"/>
      </w:r>
      <w:r>
        <w:rPr>
          <w:rFonts w:hint="eastAsia" w:ascii="宋体" w:hAnsi="宋体" w:eastAsia="宋体" w:cs="宋体"/>
          <w:b/>
          <w:bCs/>
          <w:color w:val="auto"/>
          <w:sz w:val="24"/>
          <w:szCs w:val="24"/>
          <w:lang w:val="en-US" w:eastAsia="zh-CN"/>
        </w:rPr>
        <w:t>标项二：</w:t>
      </w:r>
      <w:r>
        <w:rPr>
          <w:rFonts w:hint="eastAsia" w:ascii="宋体" w:hAnsi="宋体" w:eastAsia="宋体" w:cs="宋体"/>
          <w:b/>
          <w:color w:val="auto"/>
          <w:sz w:val="24"/>
          <w:szCs w:val="24"/>
          <w:lang w:val="en-US" w:eastAsia="zh-CN"/>
        </w:rPr>
        <w:t>集卡车（含平板式半挂车）</w:t>
      </w:r>
    </w:p>
    <w:p>
      <w:pPr>
        <w:numPr>
          <w:ilvl w:val="0"/>
          <w:numId w:val="2"/>
        </w:numPr>
        <w:spacing w:line="360" w:lineRule="auto"/>
        <w:outlineLvl w:val="2"/>
        <w:rPr>
          <w:b/>
          <w:bCs/>
          <w:color w:val="auto"/>
          <w:sz w:val="24"/>
          <w:szCs w:val="24"/>
        </w:rPr>
      </w:pPr>
      <w:r>
        <w:rPr>
          <w:rFonts w:hint="eastAsia" w:ascii="宋体" w:hAnsi="宋体" w:cs="宋体"/>
          <w:b/>
          <w:color w:val="auto"/>
          <w:sz w:val="24"/>
          <w:szCs w:val="24"/>
        </w:rPr>
        <w:t>采购内容及</w:t>
      </w:r>
      <w:r>
        <w:rPr>
          <w:rFonts w:hint="eastAsia" w:ascii="宋体" w:hAnsi="宋体" w:cs="宋体"/>
          <w:b/>
          <w:color w:val="auto"/>
          <w:sz w:val="24"/>
          <w:szCs w:val="24"/>
          <w:lang w:eastAsia="zh-CN"/>
        </w:rPr>
        <w:t>技术参数</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8"/>
        <w:gridCol w:w="8391"/>
      </w:tblGrid>
      <w:tr>
        <w:trPr>
          <w:trHeight w:val="595" w:hRule="atLeast"/>
          <w:jc w:val="center"/>
        </w:trPr>
        <w:tc>
          <w:tcPr>
            <w:tcW w:w="17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产品名称</w:t>
            </w:r>
          </w:p>
        </w:tc>
        <w:tc>
          <w:tcPr>
            <w:tcW w:w="83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技术参数</w:t>
            </w:r>
          </w:p>
        </w:tc>
      </w:tr>
      <w:tr>
        <w:trPr>
          <w:trHeight w:val="0" w:hRule="atLeast"/>
          <w:jc w:val="center"/>
        </w:trPr>
        <w:tc>
          <w:tcPr>
            <w:tcW w:w="1768"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b/>
                <w:bCs/>
                <w:i w:val="0"/>
                <w:iCs w:val="0"/>
                <w:color w:val="auto"/>
                <w:sz w:val="22"/>
                <w:szCs w:val="22"/>
                <w:u w:val="none"/>
                <w:lang w:val="en-US" w:eastAsia="zh-CN"/>
              </w:rPr>
            </w:pPr>
          </w:p>
          <w:p>
            <w:pPr>
              <w:pStyle w:val="2"/>
              <w:rPr>
                <w:rFonts w:hint="eastAsia" w:ascii="宋体" w:hAnsi="宋体" w:eastAsia="宋体" w:cs="宋体"/>
                <w:b/>
                <w:bCs/>
                <w:i w:val="0"/>
                <w:iCs w:val="0"/>
                <w:color w:val="auto"/>
                <w:sz w:val="22"/>
                <w:szCs w:val="22"/>
                <w:u w:val="none"/>
                <w:lang w:val="en-US" w:eastAsia="zh-CN"/>
              </w:rPr>
            </w:pPr>
          </w:p>
          <w:p>
            <w:pPr>
              <w:pStyle w:val="2"/>
              <w:rPr>
                <w:rFonts w:hint="eastAsia" w:ascii="宋体" w:hAnsi="宋体" w:eastAsia="宋体" w:cs="宋体"/>
                <w:b/>
                <w:bCs/>
                <w:i w:val="0"/>
                <w:iCs w:val="0"/>
                <w:color w:val="auto"/>
                <w:sz w:val="22"/>
                <w:szCs w:val="22"/>
                <w:u w:val="none"/>
                <w:lang w:val="en-US" w:eastAsia="zh-CN"/>
              </w:rPr>
            </w:pPr>
          </w:p>
          <w:p>
            <w:pPr>
              <w:pStyle w:val="2"/>
              <w:rPr>
                <w:rFonts w:hint="eastAsia" w:ascii="宋体" w:hAnsi="宋体" w:eastAsia="宋体" w:cs="宋体"/>
                <w:b/>
                <w:bCs/>
                <w:i w:val="0"/>
                <w:iCs w:val="0"/>
                <w:color w:val="auto"/>
                <w:sz w:val="22"/>
                <w:szCs w:val="22"/>
                <w:u w:val="none"/>
                <w:lang w:val="en-US" w:eastAsia="zh-CN"/>
              </w:rPr>
            </w:pPr>
          </w:p>
          <w:p>
            <w:pPr>
              <w:pStyle w:val="2"/>
              <w:rPr>
                <w:rFonts w:hint="eastAsia" w:ascii="宋体" w:hAnsi="宋体" w:eastAsia="宋体" w:cs="宋体"/>
                <w:b/>
                <w:bCs/>
                <w:i w:val="0"/>
                <w:iCs w:val="0"/>
                <w:color w:val="auto"/>
                <w:sz w:val="22"/>
                <w:szCs w:val="22"/>
                <w:u w:val="none"/>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sz w:val="22"/>
                <w:szCs w:val="22"/>
                <w:u w:val="none"/>
                <w:lang w:val="en-US" w:eastAsia="zh-CN"/>
              </w:rPr>
              <w:t>集卡车</w:t>
            </w:r>
          </w:p>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auto"/>
                <w:sz w:val="22"/>
                <w:szCs w:val="22"/>
                <w:u w:val="none"/>
              </w:rPr>
            </w:pPr>
          </w:p>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auto"/>
                <w:sz w:val="22"/>
                <w:szCs w:val="22"/>
                <w:u w:val="none"/>
              </w:rPr>
            </w:pPr>
          </w:p>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auto"/>
                <w:sz w:val="22"/>
                <w:szCs w:val="22"/>
                <w:u w:val="none"/>
              </w:rPr>
            </w:pPr>
          </w:p>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auto"/>
                <w:sz w:val="22"/>
                <w:szCs w:val="22"/>
                <w:u w:val="none"/>
              </w:rPr>
            </w:pPr>
          </w:p>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auto"/>
                <w:sz w:val="22"/>
                <w:szCs w:val="22"/>
                <w:u w:val="none"/>
              </w:rPr>
            </w:pPr>
          </w:p>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auto"/>
                <w:sz w:val="22"/>
                <w:szCs w:val="22"/>
                <w:u w:val="none"/>
              </w:rPr>
            </w:pPr>
          </w:p>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auto"/>
                <w:sz w:val="22"/>
                <w:szCs w:val="22"/>
                <w:u w:val="none"/>
              </w:rPr>
            </w:pPr>
          </w:p>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auto"/>
                <w:sz w:val="22"/>
                <w:szCs w:val="22"/>
                <w:u w:val="none"/>
              </w:rPr>
            </w:pP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b/>
                <w:bCs/>
                <w:i w:val="0"/>
                <w:iCs w:val="0"/>
                <w:color w:val="auto"/>
                <w:sz w:val="22"/>
                <w:szCs w:val="22"/>
                <w:u w:val="none"/>
              </w:rPr>
            </w:pPr>
          </w:p>
        </w:tc>
        <w:tc>
          <w:tcPr>
            <w:tcW w:w="8391" w:type="dxa"/>
            <w:noWrap w:val="0"/>
            <w:vAlign w:val="center"/>
          </w:tcPr>
          <w:p>
            <w:pPr>
              <w:keepNext w:val="0"/>
              <w:keepLines w:val="0"/>
              <w:pageBreakBefore w:val="0"/>
              <w:widowControl/>
              <w:numPr>
                <w:ilvl w:val="0"/>
                <w:numId w:val="3"/>
              </w:numPr>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▲发动机：</w:t>
            </w:r>
            <w:r>
              <w:rPr>
                <w:rFonts w:hint="eastAsia" w:ascii="宋体" w:hAnsi="宋体" w:eastAsia="宋体" w:cs="宋体"/>
                <w:b w:val="0"/>
                <w:bCs w:val="0"/>
                <w:i w:val="0"/>
                <w:iCs w:val="0"/>
                <w:color w:val="auto"/>
                <w:kern w:val="0"/>
                <w:sz w:val="24"/>
                <w:szCs w:val="24"/>
                <w:u w:val="none"/>
                <w:lang w:val="en-US" w:eastAsia="zh-CN" w:bidi="ar"/>
              </w:rPr>
              <w:t>排量≥10.5L，马力≥460匹，尾气排放达到GB3847-2005,GB17691-2018国VI标准。</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发动机型式：水冷柴油发动机</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驱动形式：6*4</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b w:val="0"/>
                <w:bCs w:val="0"/>
                <w:i w:val="0"/>
                <w:iCs w:val="0"/>
                <w:color w:val="auto"/>
                <w:kern w:val="0"/>
                <w:sz w:val="24"/>
                <w:szCs w:val="24"/>
                <w:u w:val="none"/>
                <w:lang w:val="en-US" w:eastAsia="zh-CN" w:bidi="ar"/>
              </w:rPr>
              <w:t>准牵引总质量：≥40000kg</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变速箱：手动</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 xml:space="preserve">驾驶室准乘人数：≥2人 </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总质量：≥25000kg</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整备质量：≤8870kg</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color w:val="auto"/>
                <w:sz w:val="24"/>
                <w:szCs w:val="24"/>
                <w:lang w:val="en-US" w:eastAsia="zh-CN"/>
              </w:rPr>
            </w:pPr>
            <w:r>
              <w:rPr>
                <w:rFonts w:hint="eastAsia" w:ascii="宋体" w:hAnsi="宋体" w:eastAsia="宋体" w:cs="宋体"/>
                <w:b w:val="0"/>
                <w:bCs w:val="0"/>
                <w:i w:val="0"/>
                <w:iCs w:val="0"/>
                <w:color w:val="auto"/>
                <w:kern w:val="0"/>
                <w:sz w:val="24"/>
                <w:szCs w:val="24"/>
                <w:u w:val="none"/>
                <w:lang w:val="en-US" w:eastAsia="zh-CN" w:bidi="ar"/>
              </w:rPr>
              <w:t>前悬/后悬：≤1460/1065mm</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前桥：≥5.5t,免维护</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后桥：≥11.5t,速比3.7，轴距：≥3350+1350</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前铝后钢轻量化轮毂</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驾驶室：高顶，外廓尺寸≥</w:t>
            </w:r>
            <w:r>
              <w:rPr>
                <w:rFonts w:hint="eastAsia" w:ascii="宋体" w:hAnsi="宋体" w:eastAsia="宋体" w:cs="宋体"/>
                <w:color w:val="auto"/>
                <w:sz w:val="24"/>
                <w:szCs w:val="24"/>
              </w:rPr>
              <w:t>6920</w:t>
            </w:r>
            <w:r>
              <w:rPr>
                <w:rFonts w:hint="eastAsia" w:ascii="宋体" w:hAnsi="宋体" w:eastAsia="宋体" w:cs="宋体"/>
                <w:color w:val="auto"/>
                <w:sz w:val="24"/>
                <w:szCs w:val="24"/>
                <w:lang w:val="en-US" w:eastAsia="zh-CN"/>
              </w:rPr>
              <w:t>mm</w:t>
            </w:r>
            <w:r>
              <w:rPr>
                <w:rFonts w:hint="eastAsia" w:ascii="宋体" w:hAnsi="宋体" w:eastAsia="宋体" w:cs="宋体"/>
                <w:color w:val="auto"/>
                <w:sz w:val="24"/>
                <w:szCs w:val="24"/>
              </w:rPr>
              <w:t>×2550</w:t>
            </w:r>
            <w:r>
              <w:rPr>
                <w:rFonts w:hint="eastAsia" w:ascii="宋体" w:hAnsi="宋体" w:eastAsia="宋体" w:cs="宋体"/>
                <w:color w:val="auto"/>
                <w:sz w:val="24"/>
                <w:szCs w:val="24"/>
                <w:lang w:val="en-US" w:eastAsia="zh-CN"/>
              </w:rPr>
              <w:t>mm</w:t>
            </w:r>
            <w:r>
              <w:rPr>
                <w:rFonts w:hint="eastAsia" w:ascii="宋体" w:hAnsi="宋体" w:eastAsia="宋体" w:cs="宋体"/>
                <w:color w:val="auto"/>
                <w:sz w:val="24"/>
                <w:szCs w:val="24"/>
              </w:rPr>
              <w:t>×3520</w:t>
            </w:r>
            <w:r>
              <w:rPr>
                <w:rFonts w:hint="eastAsia" w:ascii="宋体" w:hAnsi="宋体" w:eastAsia="宋体" w:cs="宋体"/>
                <w:color w:val="auto"/>
                <w:sz w:val="24"/>
                <w:szCs w:val="24"/>
                <w:lang w:val="en-US" w:eastAsia="zh-CN"/>
              </w:rPr>
              <w:t>mm</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四点全浮气囊减震</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空调：驾驶室标配空调</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color w:val="auto"/>
                <w:sz w:val="24"/>
                <w:szCs w:val="24"/>
                <w:lang w:val="en-US" w:eastAsia="zh-CN"/>
              </w:rPr>
            </w:pPr>
            <w:r>
              <w:rPr>
                <w:rFonts w:hint="eastAsia" w:ascii="宋体" w:hAnsi="宋体" w:eastAsia="宋体" w:cs="宋体"/>
                <w:b w:val="0"/>
                <w:bCs w:val="0"/>
                <w:i w:val="0"/>
                <w:iCs w:val="0"/>
                <w:color w:val="auto"/>
                <w:kern w:val="0"/>
                <w:sz w:val="24"/>
                <w:szCs w:val="24"/>
                <w:u w:val="none"/>
                <w:lang w:val="en-US" w:eastAsia="zh-CN" w:bidi="ar"/>
              </w:rPr>
              <w:t>座椅：主驾气囊座椅</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电动门窗、电动电加热后视镜、天窗、电动液压一体举升驾驶室、ABS+ESC、双预警（LDW/FCW）、多功能方向盘、光导日行灯、液晶仪表台，满足最新法规要求。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768"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auto"/>
                <w:sz w:val="22"/>
                <w:szCs w:val="22"/>
                <w:u w:val="none"/>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color w:val="auto"/>
                <w:sz w:val="22"/>
                <w:szCs w:val="22"/>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color w:val="auto"/>
                <w:sz w:val="22"/>
                <w:szCs w:val="22"/>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color w:val="auto"/>
                <w:sz w:val="22"/>
                <w:szCs w:val="22"/>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color w:val="auto"/>
                <w:sz w:val="22"/>
                <w:szCs w:val="22"/>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color w:val="auto"/>
                <w:sz w:val="22"/>
                <w:szCs w:val="22"/>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color w:val="auto"/>
                <w:sz w:val="22"/>
                <w:szCs w:val="22"/>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平板式半挂车</w:t>
            </w:r>
          </w:p>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auto"/>
                <w:sz w:val="22"/>
                <w:szCs w:val="22"/>
                <w:u w:val="none"/>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auto"/>
                <w:sz w:val="22"/>
                <w:szCs w:val="22"/>
                <w:u w:val="none"/>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auto"/>
                <w:sz w:val="22"/>
                <w:szCs w:val="22"/>
                <w:u w:val="none"/>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auto"/>
                <w:sz w:val="22"/>
                <w:szCs w:val="22"/>
                <w:u w:val="none"/>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auto"/>
                <w:sz w:val="22"/>
                <w:szCs w:val="22"/>
                <w:u w:val="none"/>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auto"/>
                <w:sz w:val="22"/>
                <w:szCs w:val="22"/>
                <w:u w:val="none"/>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auto"/>
                <w:sz w:val="22"/>
                <w:szCs w:val="22"/>
                <w:u w:val="none"/>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auto"/>
                <w:sz w:val="22"/>
                <w:szCs w:val="22"/>
                <w:u w:val="none"/>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auto"/>
                <w:sz w:val="22"/>
                <w:szCs w:val="22"/>
                <w:u w:val="none"/>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auto"/>
                <w:sz w:val="22"/>
                <w:szCs w:val="22"/>
                <w:u w:val="none"/>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auto"/>
                <w:sz w:val="22"/>
                <w:szCs w:val="22"/>
                <w:u w:val="none"/>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auto"/>
                <w:sz w:val="22"/>
                <w:szCs w:val="22"/>
                <w:u w:val="none"/>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auto"/>
                <w:sz w:val="22"/>
                <w:szCs w:val="22"/>
                <w:u w:val="none"/>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auto"/>
                <w:sz w:val="22"/>
                <w:szCs w:val="22"/>
                <w:u w:val="none"/>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bCs/>
                <w:i w:val="0"/>
                <w:iCs w:val="0"/>
                <w:color w:val="auto"/>
                <w:sz w:val="22"/>
                <w:szCs w:val="22"/>
                <w:u w:val="none"/>
                <w:lang w:val="en-US" w:eastAsia="zh-CN"/>
              </w:rPr>
            </w:pPr>
          </w:p>
        </w:tc>
        <w:tc>
          <w:tcPr>
            <w:tcW w:w="8391" w:type="dxa"/>
            <w:noWrap w:val="0"/>
            <w:vAlign w:val="center"/>
          </w:tcPr>
          <w:p>
            <w:pPr>
              <w:keepNext w:val="0"/>
              <w:keepLines w:val="0"/>
              <w:pageBreakBefore w:val="0"/>
              <w:widowControl/>
              <w:numPr>
                <w:ilvl w:val="0"/>
                <w:numId w:val="3"/>
              </w:numPr>
              <w:suppressLineNumbers w:val="0"/>
              <w:kinsoku/>
              <w:wordWrap/>
              <w:overflowPunct/>
              <w:topLinePunct w:val="0"/>
              <w:autoSpaceDE/>
              <w:autoSpaceDN/>
              <w:bidi w:val="0"/>
              <w:adjustRightInd/>
              <w:snapToGrid/>
              <w:spacing w:line="440" w:lineRule="exact"/>
              <w:ind w:left="0" w:leftChars="0" w:firstLine="0" w:firstLineChars="0"/>
              <w:jc w:val="both"/>
              <w:textAlignment w:val="center"/>
              <w:rPr>
                <w:rFonts w:hint="eastAsia" w:ascii="宋体" w:hAnsi="宋体" w:eastAsia="宋体" w:cs="宋体"/>
                <w:color w:val="auto"/>
                <w:sz w:val="24"/>
                <w:szCs w:val="24"/>
                <w:lang w:val="en-US" w:eastAsia="zh-CN"/>
              </w:rPr>
            </w:pPr>
            <w:r>
              <w:rPr>
                <w:rFonts w:hint="eastAsia" w:ascii="宋体" w:hAnsi="宋体" w:eastAsia="宋体" w:cs="宋体"/>
                <w:b w:val="0"/>
                <w:bCs w:val="0"/>
                <w:color w:val="auto"/>
                <w:sz w:val="24"/>
                <w:szCs w:val="24"/>
                <w:vertAlign w:val="baseline"/>
                <w:lang w:val="en-US" w:eastAsia="zh-CN"/>
              </w:rPr>
              <w:t xml:space="preserve">轴数：三轴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 xml:space="preserve">18、车辆外廓尺寸（mm）：≥13000×2550×2700（高度根据主机承高变化）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19、总质量：≥40000</w:t>
            </w:r>
            <w:r>
              <w:rPr>
                <w:rFonts w:hint="eastAsia" w:ascii="宋体" w:hAnsi="宋体" w:eastAsia="宋体" w:cs="宋体"/>
                <w:b w:val="0"/>
                <w:bCs w:val="0"/>
                <w:i w:val="0"/>
                <w:iCs w:val="0"/>
                <w:color w:val="auto"/>
                <w:kern w:val="0"/>
                <w:sz w:val="24"/>
                <w:szCs w:val="24"/>
                <w:u w:val="none"/>
                <w:lang w:val="en-US" w:eastAsia="zh-CN" w:bidi="ar"/>
              </w:rPr>
              <w:t>kg</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20、整备质量：≤6500</w:t>
            </w:r>
            <w:r>
              <w:rPr>
                <w:rFonts w:hint="eastAsia" w:ascii="宋体" w:hAnsi="宋体" w:eastAsia="宋体" w:cs="宋体"/>
                <w:b w:val="0"/>
                <w:bCs w:val="0"/>
                <w:i w:val="0"/>
                <w:iCs w:val="0"/>
                <w:color w:val="auto"/>
                <w:kern w:val="0"/>
                <w:sz w:val="24"/>
                <w:szCs w:val="24"/>
                <w:u w:val="none"/>
                <w:lang w:val="en-US" w:eastAsia="zh-CN" w:bidi="ar"/>
              </w:rPr>
              <w:t>kg</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21、</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b w:val="0"/>
                <w:bCs w:val="0"/>
                <w:color w:val="auto"/>
                <w:sz w:val="24"/>
                <w:szCs w:val="24"/>
                <w:vertAlign w:val="baseline"/>
                <w:lang w:val="en-US" w:eastAsia="zh-CN"/>
              </w:rPr>
              <w:t>额定载质量：</w:t>
            </w:r>
            <w:r>
              <w:rPr>
                <w:rFonts w:hint="eastAsia" w:ascii="宋体" w:hAnsi="宋体" w:eastAsia="宋体" w:cs="宋体"/>
                <w:b w:val="0"/>
                <w:bCs w:val="0"/>
                <w:color w:val="auto"/>
                <w:sz w:val="24"/>
                <w:szCs w:val="24"/>
                <w:highlight w:val="none"/>
                <w:vertAlign w:val="baseline"/>
                <w:lang w:val="en-US" w:eastAsia="zh-CN"/>
              </w:rPr>
              <w:t>≥34000</w:t>
            </w:r>
            <w:r>
              <w:rPr>
                <w:rFonts w:hint="eastAsia" w:ascii="宋体" w:hAnsi="宋体" w:eastAsia="宋体" w:cs="宋体"/>
                <w:b w:val="0"/>
                <w:bCs w:val="0"/>
                <w:i w:val="0"/>
                <w:iCs w:val="0"/>
                <w:color w:val="auto"/>
                <w:kern w:val="0"/>
                <w:sz w:val="24"/>
                <w:szCs w:val="24"/>
                <w:highlight w:val="none"/>
                <w:u w:val="none"/>
                <w:lang w:val="en-US" w:eastAsia="zh-CN" w:bidi="ar"/>
              </w:rPr>
              <w:t>kg</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22、整车基本配置：</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ind w:firstLine="480" w:firstLineChars="200"/>
              <w:jc w:val="both"/>
              <w:textAlignment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a.行走机构配置：车桥-厂配10T/220刹车片/1840/ABS/自动调整臂/（实际13T）；悬架-Φ60三轴悬架；板簧-10×13×90带槽不等长；轮胎-厂配12R22.5 12PR 12个；钢圈-9.0×22.5/标准型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ind w:firstLine="480" w:firstLineChars="200"/>
              <w:jc w:val="both"/>
              <w:textAlignment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b.车架配置：纵梁规格-上10/下12/中6/480高/材质为700L；牵引销-50#装配式；边梁-t4</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23、半挂车间隙半径（mm）：≤2300</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 xml:space="preserve">24、轴距（mm）：≥6830+1310+1310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 xml:space="preserve">25、制动相应时间C（s）：0.40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26、轴荷(kg)：24000（三轴）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27、后回转半径（mm）：≤2200</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28、前回转半径（mm）：</w:t>
            </w:r>
            <w:r>
              <w:rPr>
                <w:rFonts w:hint="eastAsia" w:ascii="宋体" w:hAnsi="宋体" w:eastAsia="宋体" w:cs="宋体"/>
                <w:b w:val="0"/>
                <w:bCs w:val="0"/>
                <w:i w:val="0"/>
                <w:iCs w:val="0"/>
                <w:color w:val="auto"/>
                <w:kern w:val="0"/>
                <w:sz w:val="24"/>
                <w:szCs w:val="24"/>
                <w:u w:val="none"/>
                <w:lang w:val="en-US" w:eastAsia="zh-CN" w:bidi="ar"/>
              </w:rPr>
              <w:t>≤</w:t>
            </w:r>
            <w:r>
              <w:rPr>
                <w:rFonts w:hint="eastAsia" w:ascii="宋体" w:hAnsi="宋体" w:eastAsia="宋体" w:cs="宋体"/>
                <w:b w:val="0"/>
                <w:bCs w:val="0"/>
                <w:color w:val="auto"/>
                <w:sz w:val="24"/>
                <w:szCs w:val="24"/>
                <w:vertAlign w:val="baseline"/>
                <w:lang w:val="en-US" w:eastAsia="zh-CN"/>
              </w:rPr>
              <w:t>1857</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29、前悬（mm）:</w:t>
            </w:r>
            <w:r>
              <w:rPr>
                <w:rFonts w:hint="eastAsia" w:ascii="宋体" w:hAnsi="宋体" w:eastAsia="宋体" w:cs="宋体"/>
                <w:b w:val="0"/>
                <w:bCs w:val="0"/>
                <w:i w:val="0"/>
                <w:iCs w:val="0"/>
                <w:color w:val="auto"/>
                <w:kern w:val="0"/>
                <w:sz w:val="24"/>
                <w:szCs w:val="24"/>
                <w:u w:val="none"/>
                <w:lang w:val="en-US" w:eastAsia="zh-CN" w:bidi="ar"/>
              </w:rPr>
              <w:t>≤</w:t>
            </w:r>
            <w:r>
              <w:rPr>
                <w:rFonts w:hint="eastAsia" w:ascii="宋体" w:hAnsi="宋体" w:eastAsia="宋体" w:cs="宋体"/>
                <w:b w:val="0"/>
                <w:bCs w:val="0"/>
                <w:color w:val="auto"/>
                <w:sz w:val="24"/>
                <w:szCs w:val="24"/>
                <w:vertAlign w:val="baseline"/>
                <w:lang w:val="en-US" w:eastAsia="zh-CN"/>
              </w:rPr>
              <w:t>1350</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30、后悬（mm）:</w:t>
            </w:r>
            <w:r>
              <w:rPr>
                <w:rFonts w:hint="eastAsia" w:ascii="宋体" w:hAnsi="宋体" w:eastAsia="宋体" w:cs="宋体"/>
                <w:b w:val="0"/>
                <w:bCs w:val="0"/>
                <w:i w:val="0"/>
                <w:iCs w:val="0"/>
                <w:color w:val="auto"/>
                <w:kern w:val="0"/>
                <w:sz w:val="24"/>
                <w:szCs w:val="24"/>
                <w:u w:val="none"/>
                <w:lang w:val="en-US" w:eastAsia="zh-CN" w:bidi="ar"/>
              </w:rPr>
              <w:t>≤</w:t>
            </w:r>
            <w:r>
              <w:rPr>
                <w:rFonts w:hint="eastAsia" w:ascii="宋体" w:hAnsi="宋体" w:eastAsia="宋体" w:cs="宋体"/>
                <w:b w:val="0"/>
                <w:bCs w:val="0"/>
                <w:color w:val="auto"/>
                <w:sz w:val="24"/>
                <w:szCs w:val="24"/>
                <w:vertAlign w:val="baseline"/>
                <w:lang w:val="en-US" w:eastAsia="zh-CN"/>
              </w:rPr>
              <w:t>2200</w:t>
            </w:r>
          </w:p>
          <w:p>
            <w:pPr>
              <w:pStyle w:val="2"/>
              <w:ind w:left="0" w:leftChars="0" w:firstLine="0" w:firstLineChars="0"/>
              <w:rPr>
                <w:rFonts w:hint="eastAsia" w:ascii="宋体" w:hAnsi="宋体" w:eastAsia="宋体" w:cs="宋体"/>
                <w:color w:val="auto"/>
                <w:sz w:val="24"/>
                <w:szCs w:val="24"/>
                <w:lang w:val="en-US" w:eastAsia="zh-CN"/>
              </w:rPr>
            </w:pPr>
            <w:r>
              <w:rPr>
                <w:rFonts w:hint="eastAsia" w:ascii="宋体" w:hAnsi="宋体" w:eastAsia="宋体" w:cs="宋体"/>
                <w:b w:val="0"/>
                <w:bCs w:val="0"/>
                <w:color w:val="auto"/>
                <w:sz w:val="24"/>
                <w:szCs w:val="24"/>
                <w:vertAlign w:val="baseline"/>
                <w:lang w:val="en-US" w:eastAsia="zh-CN"/>
              </w:rPr>
              <w:t>31、工艺：激光下料、程控车架组对、机器人焊接、KTL电泳+喷粉</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宋体" w:cs="宋体"/>
                <w:b/>
                <w:bCs w:val="0"/>
                <w:color w:val="auto"/>
                <w:kern w:val="0"/>
                <w:sz w:val="24"/>
                <w:szCs w:val="24"/>
                <w:lang w:val="en-US" w:eastAsia="zh-CN"/>
              </w:rPr>
            </w:pPr>
            <w:r>
              <w:rPr>
                <w:rFonts w:hint="eastAsia" w:ascii="宋体" w:hAnsi="宋体" w:eastAsia="宋体" w:cs="宋体"/>
                <w:b w:val="0"/>
                <w:bCs w:val="0"/>
                <w:color w:val="auto"/>
                <w:sz w:val="24"/>
                <w:szCs w:val="24"/>
                <w:vertAlign w:val="baseline"/>
                <w:lang w:val="en-US" w:eastAsia="zh-CN"/>
              </w:rPr>
              <w:t>32、车辆提供上牌公告目录以及道路运输车辆达标公告</w:t>
            </w:r>
          </w:p>
        </w:tc>
      </w:tr>
    </w:tbl>
    <w:p>
      <w:pPr>
        <w:pStyle w:val="3"/>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highlight w:val="none"/>
          <w:lang w:val="en-US" w:eastAsia="zh-CN"/>
        </w:rPr>
        <w:t>注：1、集卡车与平板式半挂车使用功能及参数必须匹配。</w:t>
      </w:r>
      <w:r>
        <w:rPr>
          <w:rFonts w:hint="eastAsia" w:ascii="宋体" w:hAnsi="宋体" w:eastAsia="宋体" w:cs="宋体"/>
          <w:b/>
          <w:bCs/>
          <w:color w:val="auto"/>
          <w:sz w:val="24"/>
          <w:szCs w:val="24"/>
          <w:lang w:val="en-US" w:eastAsia="zh-CN"/>
        </w:rPr>
        <w:t>2、加“▲”号的为实质性效应参数，若未响应，则为无效标。</w:t>
      </w:r>
    </w:p>
    <w:p>
      <w:pPr>
        <w:keepNext w:val="0"/>
        <w:keepLines w:val="0"/>
        <w:pageBreakBefore w:val="0"/>
        <w:widowControl w:val="0"/>
        <w:numPr>
          <w:ilvl w:val="0"/>
          <w:numId w:val="4"/>
        </w:numPr>
        <w:kinsoku/>
        <w:wordWrap/>
        <w:overflowPunct/>
        <w:topLinePunct w:val="0"/>
        <w:autoSpaceDE/>
        <w:autoSpaceDN/>
        <w:bidi w:val="0"/>
        <w:adjustRightInd/>
        <w:snapToGrid/>
        <w:spacing w:before="313" w:beforeLines="1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样式（如下图）：</w:t>
      </w:r>
    </w:p>
    <w:p>
      <w:pPr>
        <w:pStyle w:val="2"/>
        <w:numPr>
          <w:ilvl w:val="0"/>
          <w:numId w:val="0"/>
        </w:numPr>
        <w:ind w:left="560" w:leftChars="0"/>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eastAsia" w:ascii="宋体" w:hAnsi="宋体" w:eastAsia="宋体" w:cs="宋体"/>
          <w:b/>
          <w:bCs/>
          <w:color w:val="auto"/>
          <w:sz w:val="24"/>
          <w:szCs w:val="24"/>
          <w:highlight w:val="none"/>
        </w:rPr>
      </w:pPr>
      <w:r>
        <w:rPr>
          <w:color w:val="auto"/>
        </w:rPr>
        <w:drawing>
          <wp:inline distT="0" distB="0" distL="114300" distR="114300">
            <wp:extent cx="3028950" cy="2176145"/>
            <wp:effectExtent l="0" t="0" r="0" b="146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3028950" cy="2176145"/>
                    </a:xfrm>
                    <a:prstGeom prst="rect">
                      <a:avLst/>
                    </a:prstGeom>
                    <a:noFill/>
                    <a:ln>
                      <a:noFill/>
                    </a:ln>
                  </pic:spPr>
                </pic:pic>
              </a:graphicData>
            </a:graphic>
          </wp:inline>
        </w:drawing>
      </w:r>
      <w:r>
        <w:rPr>
          <w:color w:val="auto"/>
        </w:rPr>
        <w:drawing>
          <wp:inline distT="0" distB="0" distL="114300" distR="114300">
            <wp:extent cx="2943225" cy="2209800"/>
            <wp:effectExtent l="0" t="0" r="9525"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2943225" cy="2209800"/>
                    </a:xfrm>
                    <a:prstGeom prst="rect">
                      <a:avLst/>
                    </a:prstGeom>
                    <a:noFill/>
                    <a:ln>
                      <a:noFill/>
                    </a:ln>
                  </pic:spPr>
                </pic:pic>
              </a:graphicData>
            </a:graphic>
          </wp:inline>
        </w:drawing>
      </w:r>
      <w:r>
        <w:rPr>
          <w:rFonts w:hint="eastAsia" w:eastAsia="宋体"/>
          <w:b/>
          <w:bCs/>
          <w:color w:val="auto"/>
          <w:sz w:val="28"/>
          <w:szCs w:val="28"/>
          <w:lang w:val="en-US" w:eastAsia="zh-CN"/>
        </w:rPr>
        <w:t>此图仅作为样式参考，非最终供货产品。</w:t>
      </w:r>
      <w:r>
        <w:rPr>
          <w:rFonts w:hint="eastAsia" w:ascii="宋体" w:hAnsi="宋体" w:eastAsia="宋体" w:cs="宋体"/>
          <w:b/>
          <w:bCs/>
          <w:color w:val="auto"/>
          <w:sz w:val="24"/>
          <w:szCs w:val="24"/>
          <w:highlight w:val="none"/>
          <w:lang w:val="en-US" w:eastAsia="zh-CN"/>
        </w:rPr>
        <w:br w:type="page"/>
      </w:r>
      <w:r>
        <w:rPr>
          <w:rFonts w:hint="eastAsia" w:ascii="宋体" w:hAnsi="宋体" w:eastAsia="宋体" w:cs="宋体"/>
          <w:b/>
          <w:bCs/>
          <w:color w:val="auto"/>
          <w:sz w:val="24"/>
          <w:szCs w:val="24"/>
          <w:highlight w:val="none"/>
          <w:lang w:val="en-US" w:eastAsia="zh-CN"/>
        </w:rPr>
        <w:t>二</w:t>
      </w:r>
      <w:r>
        <w:rPr>
          <w:rFonts w:hint="eastAsia" w:ascii="宋体" w:hAnsi="宋体" w:eastAsia="宋体" w:cs="宋体"/>
          <w:b/>
          <w:bCs/>
          <w:color w:val="auto"/>
          <w:sz w:val="24"/>
          <w:szCs w:val="24"/>
          <w:highlight w:val="none"/>
        </w:rPr>
        <w:t>、商务条款</w:t>
      </w:r>
    </w:p>
    <w:p>
      <w:pPr>
        <w:pStyle w:val="5"/>
        <w:adjustRightInd w:val="0"/>
        <w:snapToGrid w:val="0"/>
        <w:spacing w:line="440" w:lineRule="atLeast"/>
        <w:ind w:firstLine="48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1、质保期与售后服务：</w:t>
      </w:r>
    </w:p>
    <w:p>
      <w:pPr>
        <w:pStyle w:val="5"/>
        <w:adjustRightInd w:val="0"/>
        <w:snapToGrid w:val="0"/>
        <w:spacing w:line="440" w:lineRule="atLeast"/>
        <w:ind w:firstLine="482"/>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1.1.本项目设备要求提供</w:t>
      </w:r>
      <w:r>
        <w:rPr>
          <w:rFonts w:hint="eastAsia" w:hAnsi="宋体" w:eastAsia="宋体" w:cs="宋体"/>
          <w:b w:val="0"/>
          <w:color w:val="auto"/>
          <w:sz w:val="24"/>
          <w:szCs w:val="24"/>
          <w:highlight w:val="none"/>
          <w:lang w:val="en-US" w:eastAsia="zh-CN"/>
        </w:rPr>
        <w:t>两</w:t>
      </w:r>
      <w:r>
        <w:rPr>
          <w:rFonts w:hint="eastAsia" w:ascii="宋体" w:hAnsi="宋体" w:eastAsia="宋体" w:cs="宋体"/>
          <w:b w:val="0"/>
          <w:color w:val="auto"/>
          <w:sz w:val="24"/>
          <w:szCs w:val="24"/>
          <w:highlight w:val="none"/>
        </w:rPr>
        <w:t>年的免费质保期（若有设备原厂商提供更长质保期，则按最长的质保期执行），质保期从验收合格交付使用之日起算；保质期内因产品本身缺陷（非人为因素）造成各种故障应由中标供应商免费技术服务和维修。</w:t>
      </w:r>
    </w:p>
    <w:p>
      <w:pPr>
        <w:pStyle w:val="5"/>
        <w:adjustRightInd w:val="0"/>
        <w:snapToGrid w:val="0"/>
        <w:spacing w:line="440" w:lineRule="atLeast"/>
        <w:ind w:firstLine="48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1.2.质量保修期内，要求供应商7×24小时电话响应技术咨询；</w:t>
      </w:r>
      <w:r>
        <w:rPr>
          <w:rFonts w:hint="eastAsia" w:ascii="宋体" w:hAnsi="宋体" w:eastAsia="宋体" w:cs="宋体"/>
          <w:color w:val="auto"/>
          <w:sz w:val="24"/>
          <w:szCs w:val="24"/>
        </w:rPr>
        <w:t>接到用户报修电话通知后，应在</w:t>
      </w:r>
      <w:r>
        <w:rPr>
          <w:rFonts w:hint="eastAsia" w:ascii="宋体" w:hAnsi="宋体" w:eastAsia="宋体" w:cs="宋体"/>
          <w:color w:val="auto"/>
          <w:sz w:val="24"/>
          <w:szCs w:val="24"/>
          <w:lang w:val="en-US" w:eastAsia="zh-CN"/>
        </w:rPr>
        <w:t>24</w:t>
      </w:r>
      <w:r>
        <w:rPr>
          <w:rFonts w:hint="eastAsia" w:ascii="宋体" w:hAnsi="宋体" w:eastAsia="宋体" w:cs="宋体"/>
          <w:color w:val="auto"/>
          <w:sz w:val="24"/>
          <w:szCs w:val="24"/>
        </w:rPr>
        <w:t>小时内上门服务，并在</w:t>
      </w:r>
      <w:r>
        <w:rPr>
          <w:rFonts w:hint="eastAsia" w:ascii="宋体" w:hAnsi="宋体" w:eastAsia="宋体" w:cs="宋体"/>
          <w:color w:val="auto"/>
          <w:sz w:val="24"/>
          <w:szCs w:val="24"/>
          <w:lang w:val="en-US" w:eastAsia="zh-CN"/>
        </w:rPr>
        <w:t>48</w:t>
      </w:r>
      <w:r>
        <w:rPr>
          <w:rFonts w:hint="eastAsia" w:ascii="宋体" w:hAnsi="宋体" w:eastAsia="宋体" w:cs="宋体"/>
          <w:color w:val="auto"/>
          <w:sz w:val="24"/>
          <w:szCs w:val="24"/>
        </w:rPr>
        <w:t>小时内修复</w:t>
      </w:r>
      <w:r>
        <w:rPr>
          <w:rFonts w:hint="eastAsia" w:ascii="宋体" w:hAnsi="宋体" w:eastAsia="宋体" w:cs="宋体"/>
          <w:b w:val="0"/>
          <w:color w:val="auto"/>
          <w:sz w:val="24"/>
          <w:szCs w:val="24"/>
          <w:highlight w:val="none"/>
        </w:rPr>
        <w:t>，到货半年左右巡回检查保养一次。</w:t>
      </w:r>
    </w:p>
    <w:p>
      <w:pPr>
        <w:pStyle w:val="5"/>
        <w:adjustRightInd w:val="0"/>
        <w:snapToGrid w:val="0"/>
        <w:spacing w:line="440" w:lineRule="atLeast"/>
        <w:ind w:firstLine="48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1.3.供应商在投标文件中须说明保修期内提供的服务计划。</w:t>
      </w:r>
    </w:p>
    <w:p>
      <w:pPr>
        <w:pStyle w:val="5"/>
        <w:adjustRightInd w:val="0"/>
        <w:snapToGrid w:val="0"/>
        <w:spacing w:line="440" w:lineRule="atLeast"/>
        <w:ind w:firstLine="48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1.4中标供应商在免费质保期内提供免费的维护工作。</w:t>
      </w:r>
    </w:p>
    <w:p>
      <w:pPr>
        <w:pStyle w:val="5"/>
        <w:adjustRightInd w:val="0"/>
        <w:snapToGrid w:val="0"/>
        <w:spacing w:line="440" w:lineRule="atLeast"/>
        <w:ind w:firstLine="48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3、</w:t>
      </w:r>
      <w:r>
        <w:rPr>
          <w:rFonts w:hint="eastAsia" w:ascii="宋体" w:hAnsi="宋体" w:eastAsia="宋体" w:cs="宋体"/>
          <w:b w:val="0"/>
          <w:color w:val="auto"/>
          <w:sz w:val="24"/>
          <w:szCs w:val="24"/>
          <w:highlight w:val="none"/>
          <w:lang w:eastAsia="zh-CN"/>
        </w:rPr>
        <w:t>手续代办</w:t>
      </w:r>
      <w:r>
        <w:rPr>
          <w:rFonts w:hint="eastAsia" w:ascii="宋体" w:hAnsi="宋体" w:eastAsia="宋体" w:cs="宋体"/>
          <w:b w:val="0"/>
          <w:color w:val="auto"/>
          <w:sz w:val="24"/>
          <w:szCs w:val="24"/>
          <w:highlight w:val="none"/>
        </w:rPr>
        <w:t>：</w:t>
      </w:r>
    </w:p>
    <w:p>
      <w:pPr>
        <w:pStyle w:val="5"/>
        <w:adjustRightInd w:val="0"/>
        <w:snapToGrid w:val="0"/>
        <w:spacing w:line="440" w:lineRule="atLeast"/>
        <w:ind w:firstLine="48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3.1.中标供应商应对</w:t>
      </w:r>
      <w:r>
        <w:rPr>
          <w:rFonts w:hint="eastAsia" w:ascii="宋体" w:hAnsi="宋体" w:eastAsia="宋体" w:cs="宋体"/>
          <w:b w:val="0"/>
          <w:color w:val="auto"/>
          <w:sz w:val="24"/>
          <w:szCs w:val="24"/>
          <w:highlight w:val="none"/>
          <w:lang w:eastAsia="zh-CN"/>
        </w:rPr>
        <w:t>车辆的购置税、保险、上牌手续全部办理完成，费用由采购人支付（车辆的购置税、保险、上牌）</w:t>
      </w:r>
      <w:r>
        <w:rPr>
          <w:rFonts w:hint="eastAsia" w:ascii="宋体" w:hAnsi="宋体" w:eastAsia="宋体" w:cs="宋体"/>
          <w:b w:val="0"/>
          <w:color w:val="auto"/>
          <w:sz w:val="24"/>
          <w:szCs w:val="24"/>
          <w:highlight w:val="none"/>
        </w:rPr>
        <w:t>。</w:t>
      </w:r>
    </w:p>
    <w:p>
      <w:pPr>
        <w:pStyle w:val="5"/>
        <w:adjustRightInd w:val="0"/>
        <w:snapToGrid w:val="0"/>
        <w:spacing w:line="440" w:lineRule="atLeast"/>
        <w:ind w:firstLine="48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4、供货：</w:t>
      </w:r>
    </w:p>
    <w:p>
      <w:pPr>
        <w:pStyle w:val="5"/>
        <w:adjustRightInd w:val="0"/>
        <w:snapToGrid w:val="0"/>
        <w:spacing w:line="440" w:lineRule="atLeast"/>
        <w:ind w:firstLine="48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4.1.安装地点：按</w:t>
      </w:r>
      <w:r>
        <w:rPr>
          <w:rFonts w:hint="eastAsia" w:hAnsi="宋体" w:eastAsia="宋体" w:cs="宋体"/>
          <w:b w:val="0"/>
          <w:color w:val="auto"/>
          <w:sz w:val="24"/>
          <w:szCs w:val="24"/>
          <w:highlight w:val="none"/>
          <w:lang w:eastAsia="zh-CN"/>
        </w:rPr>
        <w:t>采购人</w:t>
      </w:r>
      <w:r>
        <w:rPr>
          <w:rFonts w:hint="eastAsia" w:ascii="宋体" w:hAnsi="宋体" w:eastAsia="宋体" w:cs="宋体"/>
          <w:b w:val="0"/>
          <w:color w:val="auto"/>
          <w:sz w:val="24"/>
          <w:szCs w:val="24"/>
          <w:highlight w:val="none"/>
        </w:rPr>
        <w:t>要求。</w:t>
      </w:r>
    </w:p>
    <w:p>
      <w:pPr>
        <w:pStyle w:val="5"/>
        <w:adjustRightInd w:val="0"/>
        <w:snapToGrid w:val="0"/>
        <w:spacing w:line="440" w:lineRule="atLeast"/>
        <w:ind w:firstLine="48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4.2.质量标准：符合我国国家有关技术规范要求和技术标准。</w:t>
      </w:r>
    </w:p>
    <w:p>
      <w:pPr>
        <w:pStyle w:val="5"/>
        <w:adjustRightInd w:val="0"/>
        <w:snapToGrid w:val="0"/>
        <w:spacing w:line="440" w:lineRule="atLeast"/>
        <w:ind w:firstLine="48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4.3.送货、安装过程中发生的费用由中标供应商负责。</w:t>
      </w:r>
    </w:p>
    <w:p>
      <w:pPr>
        <w:pStyle w:val="5"/>
        <w:adjustRightInd w:val="0"/>
        <w:snapToGrid w:val="0"/>
        <w:spacing w:line="440" w:lineRule="atLeast"/>
        <w:ind w:firstLine="48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4.4.供应商应在投标文件中提出其安装调试过程中使用单位需配合的内容。</w:t>
      </w:r>
    </w:p>
    <w:p>
      <w:pPr>
        <w:pStyle w:val="5"/>
        <w:adjustRightInd w:val="0"/>
        <w:snapToGrid w:val="0"/>
        <w:spacing w:line="440" w:lineRule="atLeast"/>
        <w:ind w:firstLine="48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5、验收</w:t>
      </w:r>
    </w:p>
    <w:p>
      <w:pPr>
        <w:pStyle w:val="5"/>
        <w:adjustRightInd w:val="0"/>
        <w:snapToGrid w:val="0"/>
        <w:spacing w:line="440" w:lineRule="atLeast"/>
        <w:ind w:firstLine="48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中标供应商已按合同规定提供了符合招标文件规定的要求的货物，并经采购人检验合格，所有的技术资料和清单已向采购人提交并被接受，验收视为合格，若因中标供应商质量问题等导致验收不合格，中标供应商应及时予以处理，直至验收合格，期间发生的一切费用由中标供应商承担，采购人保留向中标供应商索赔的权利。</w:t>
      </w:r>
    </w:p>
    <w:p>
      <w:pPr>
        <w:pStyle w:val="5"/>
        <w:adjustRightInd w:val="0"/>
        <w:snapToGrid w:val="0"/>
        <w:spacing w:line="440" w:lineRule="atLeast"/>
        <w:ind w:firstLine="48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6、交货期</w:t>
      </w:r>
    </w:p>
    <w:p>
      <w:pPr>
        <w:pStyle w:val="5"/>
        <w:adjustRightInd w:val="0"/>
        <w:snapToGrid w:val="0"/>
        <w:spacing w:line="440" w:lineRule="atLeas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中标供应商在合同签订后</w:t>
      </w:r>
      <w:r>
        <w:rPr>
          <w:rFonts w:hint="eastAsia"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rPr>
        <w:t>日历天内供货并验收合格。</w:t>
      </w:r>
    </w:p>
    <w:p>
      <w:pPr>
        <w:pStyle w:val="5"/>
        <w:adjustRightInd w:val="0"/>
        <w:snapToGrid w:val="0"/>
        <w:spacing w:line="440" w:lineRule="atLeas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三</w:t>
      </w:r>
      <w:r>
        <w:rPr>
          <w:rFonts w:hint="eastAsia" w:ascii="宋体" w:hAnsi="宋体" w:eastAsia="宋体" w:cs="宋体"/>
          <w:b/>
          <w:bCs/>
          <w:color w:val="auto"/>
          <w:sz w:val="24"/>
          <w:szCs w:val="24"/>
          <w:highlight w:val="none"/>
        </w:rPr>
        <w:t>、工作范围：</w:t>
      </w:r>
    </w:p>
    <w:p>
      <w:pPr>
        <w:pStyle w:val="5"/>
        <w:adjustRightInd w:val="0"/>
        <w:snapToGrid w:val="0"/>
        <w:spacing w:line="440" w:lineRule="atLeast"/>
        <w:ind w:firstLine="48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根据招标文件，各供应商须按国家有关标准及规范完成下列工作：</w:t>
      </w:r>
    </w:p>
    <w:p>
      <w:pPr>
        <w:pStyle w:val="5"/>
        <w:adjustRightInd w:val="0"/>
        <w:snapToGrid w:val="0"/>
        <w:spacing w:line="440" w:lineRule="atLeast"/>
        <w:ind w:firstLine="48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1.提供完整成套的货物；</w:t>
      </w:r>
    </w:p>
    <w:p>
      <w:pPr>
        <w:pStyle w:val="5"/>
        <w:adjustRightInd w:val="0"/>
        <w:snapToGrid w:val="0"/>
        <w:spacing w:line="440" w:lineRule="atLeast"/>
        <w:ind w:firstLine="48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2.产品及相关附件的提供、运输、装卸、就位、安装、调试、检验、通过验收；</w:t>
      </w:r>
    </w:p>
    <w:p>
      <w:pPr>
        <w:pStyle w:val="5"/>
        <w:adjustRightInd w:val="0"/>
        <w:snapToGrid w:val="0"/>
        <w:spacing w:line="440" w:lineRule="atLeast"/>
        <w:ind w:firstLine="48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3.完成各项调试、检验、测试工作，并在采购人的配合下通过的验收；提供各种数据资料；直至通过验收。包括所涉及的配置和调试、维护。</w:t>
      </w:r>
    </w:p>
    <w:p>
      <w:pPr>
        <w:pStyle w:val="5"/>
        <w:adjustRightInd w:val="0"/>
        <w:snapToGrid w:val="0"/>
        <w:spacing w:line="440" w:lineRule="atLeast"/>
        <w:ind w:firstLine="48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4.对最终使用单位的操作人员及维修人员进行技术培训；</w:t>
      </w:r>
    </w:p>
    <w:p>
      <w:pPr>
        <w:pStyle w:val="5"/>
        <w:adjustRightInd w:val="0"/>
        <w:snapToGrid w:val="0"/>
        <w:spacing w:line="440" w:lineRule="atLeast"/>
        <w:ind w:firstLine="48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5.质保期内的维保及维修；</w:t>
      </w:r>
    </w:p>
    <w:p>
      <w:pPr>
        <w:pStyle w:val="5"/>
        <w:adjustRightInd w:val="0"/>
        <w:snapToGrid w:val="0"/>
        <w:spacing w:after="120" w:line="440" w:lineRule="atLeast"/>
        <w:ind w:firstLine="48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6.售后服务的措施及承诺。</w:t>
      </w:r>
    </w:p>
    <w:p>
      <w:pPr>
        <w:spacing w:line="440" w:lineRule="exact"/>
        <w:ind w:left="420" w:leftChars="150"/>
        <w:jc w:val="center"/>
        <w:outlineLvl w:val="0"/>
        <w:rPr>
          <w:rFonts w:hint="eastAsia"/>
          <w:b/>
          <w:bCs/>
          <w:color w:val="auto"/>
        </w:rPr>
      </w:pPr>
      <w:r>
        <w:rPr>
          <w:rFonts w:hint="eastAsia" w:ascii="宋体" w:hAnsi="宋体" w:eastAsia="宋体" w:cs="宋体"/>
          <w:b w:val="0"/>
          <w:color w:val="auto"/>
          <w:sz w:val="24"/>
          <w:szCs w:val="24"/>
          <w:highlight w:val="none"/>
        </w:rPr>
        <w:br w:type="page"/>
      </w:r>
      <w:r>
        <w:rPr>
          <w:rFonts w:hint="eastAsia" w:hAnsi="宋体"/>
          <w:b/>
          <w:color w:val="auto"/>
          <w:sz w:val="24"/>
          <w:szCs w:val="24"/>
          <w:highlight w:val="none"/>
          <w:lang w:val="en-US" w:eastAsia="zh-CN"/>
        </w:rPr>
        <w:t>标项三：</w:t>
      </w:r>
      <w:r>
        <w:rPr>
          <w:rFonts w:hint="eastAsia"/>
          <w:b/>
          <w:bCs/>
          <w:color w:val="auto"/>
          <w:lang w:val="en-US" w:eastAsia="zh-CN"/>
        </w:rPr>
        <w:t>5吨</w:t>
      </w:r>
      <w:r>
        <w:rPr>
          <w:rFonts w:hint="eastAsia"/>
          <w:b/>
          <w:bCs/>
          <w:color w:val="auto"/>
        </w:rPr>
        <w:t>柴油动力叉车</w:t>
      </w:r>
    </w:p>
    <w:p>
      <w:pPr>
        <w:pStyle w:val="3"/>
        <w:keepNext/>
        <w:keepLines/>
        <w:pageBreakBefore w:val="0"/>
        <w:widowControl w:val="0"/>
        <w:kinsoku/>
        <w:wordWrap/>
        <w:overflowPunct/>
        <w:topLinePunct w:val="0"/>
        <w:autoSpaceDE/>
        <w:autoSpaceDN/>
        <w:bidi w:val="0"/>
        <w:adjustRightInd/>
        <w:snapToGrid/>
        <w:spacing w:before="0" w:after="0" w:line="360" w:lineRule="auto"/>
        <w:ind w:firstLine="480" w:firstLineChars="200"/>
        <w:jc w:val="left"/>
        <w:textAlignment w:val="auto"/>
        <w:rPr>
          <w:rFonts w:hint="default" w:eastAsia="宋体"/>
          <w:color w:val="auto"/>
          <w:sz w:val="24"/>
          <w:szCs w:val="24"/>
          <w:lang w:val="en-US" w:eastAsia="zh-CN"/>
        </w:rPr>
      </w:pPr>
      <w:r>
        <w:rPr>
          <w:rFonts w:hint="eastAsia"/>
          <w:b/>
          <w:bCs/>
          <w:color w:val="auto"/>
          <w:sz w:val="24"/>
          <w:szCs w:val="24"/>
          <w:lang w:val="en-US" w:eastAsia="zh-CN"/>
        </w:rPr>
        <w:t>一、采购内容及技术参数</w:t>
      </w:r>
    </w:p>
    <w:tbl>
      <w:tblPr>
        <w:tblStyle w:val="7"/>
        <w:tblW w:w="107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9"/>
        <w:gridCol w:w="2249"/>
        <w:gridCol w:w="1830"/>
        <w:gridCol w:w="690"/>
        <w:gridCol w:w="2066"/>
        <w:gridCol w:w="3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0" w:hRule="atLeast"/>
          <w:jc w:val="center"/>
        </w:trPr>
        <w:tc>
          <w:tcPr>
            <w:tcW w:w="619" w:type="dxa"/>
            <w:tcBorders>
              <w:top w:val="single" w:color="auto" w:sz="4" w:space="0"/>
              <w:left w:val="single" w:color="auto" w:sz="4" w:space="0"/>
              <w:bottom w:val="single" w:color="auto" w:sz="4" w:space="0"/>
              <w:right w:val="single" w:color="auto" w:sz="4" w:space="0"/>
            </w:tcBorders>
            <w:shd w:val="clear" w:color="auto" w:fill="A4A4A4"/>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序号</w:t>
            </w:r>
          </w:p>
        </w:tc>
        <w:tc>
          <w:tcPr>
            <w:tcW w:w="2249" w:type="dxa"/>
            <w:tcBorders>
              <w:top w:val="single" w:color="auto" w:sz="4" w:space="0"/>
              <w:left w:val="single" w:color="auto" w:sz="4" w:space="0"/>
              <w:bottom w:val="single" w:color="auto" w:sz="4" w:space="0"/>
              <w:right w:val="single" w:color="auto" w:sz="4" w:space="0"/>
            </w:tcBorders>
            <w:shd w:val="clear" w:color="auto" w:fill="A4A4A4"/>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名称</w:t>
            </w:r>
          </w:p>
        </w:tc>
        <w:tc>
          <w:tcPr>
            <w:tcW w:w="1830" w:type="dxa"/>
            <w:tcBorders>
              <w:top w:val="single" w:color="auto" w:sz="4" w:space="0"/>
              <w:left w:val="single" w:color="auto" w:sz="4" w:space="0"/>
              <w:bottom w:val="single" w:color="auto" w:sz="4" w:space="0"/>
              <w:right w:val="single" w:color="auto" w:sz="4" w:space="0"/>
            </w:tcBorders>
            <w:shd w:val="clear" w:color="auto" w:fill="A4A4A4"/>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参数或要求</w:t>
            </w:r>
          </w:p>
        </w:tc>
        <w:tc>
          <w:tcPr>
            <w:tcW w:w="690" w:type="dxa"/>
            <w:tcBorders>
              <w:top w:val="single" w:color="auto" w:sz="4" w:space="0"/>
              <w:left w:val="single" w:color="auto" w:sz="4" w:space="0"/>
              <w:bottom w:val="single" w:color="auto" w:sz="4" w:space="0"/>
              <w:right w:val="single" w:color="auto" w:sz="4" w:space="0"/>
            </w:tcBorders>
            <w:shd w:val="clear" w:color="auto" w:fill="A4A4A4"/>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序号</w:t>
            </w:r>
          </w:p>
        </w:tc>
        <w:tc>
          <w:tcPr>
            <w:tcW w:w="2066" w:type="dxa"/>
            <w:tcBorders>
              <w:top w:val="single" w:color="auto" w:sz="4" w:space="0"/>
              <w:left w:val="single" w:color="auto" w:sz="4" w:space="0"/>
              <w:bottom w:val="single" w:color="auto" w:sz="4" w:space="0"/>
              <w:right w:val="single" w:color="auto" w:sz="4" w:space="0"/>
            </w:tcBorders>
            <w:shd w:val="clear" w:color="auto" w:fill="A4A4A4"/>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名称</w:t>
            </w:r>
          </w:p>
        </w:tc>
        <w:tc>
          <w:tcPr>
            <w:tcW w:w="3315" w:type="dxa"/>
            <w:tcBorders>
              <w:top w:val="single" w:color="auto" w:sz="4" w:space="0"/>
              <w:left w:val="single" w:color="auto" w:sz="4" w:space="0"/>
              <w:bottom w:val="single" w:color="auto" w:sz="4" w:space="0"/>
              <w:right w:val="single" w:color="auto" w:sz="4" w:space="0"/>
            </w:tcBorders>
            <w:shd w:val="clear" w:color="auto" w:fill="A4A4A4"/>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参数或要求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5" w:hRule="atLeast"/>
          <w:jc w:val="center"/>
        </w:trPr>
        <w:tc>
          <w:tcPr>
            <w:tcW w:w="61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1</w:t>
            </w:r>
          </w:p>
        </w:tc>
        <w:tc>
          <w:tcPr>
            <w:tcW w:w="224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动力形式</w:t>
            </w:r>
          </w:p>
        </w:tc>
        <w:tc>
          <w:tcPr>
            <w:tcW w:w="183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柴油</w:t>
            </w:r>
          </w:p>
        </w:tc>
        <w:tc>
          <w:tcPr>
            <w:tcW w:w="6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sz w:val="24"/>
                <w:szCs w:val="24"/>
                <w:lang w:val="en-US" w:eastAsia="zh-CN"/>
              </w:rPr>
              <w:t>9</w:t>
            </w:r>
          </w:p>
        </w:tc>
        <w:tc>
          <w:tcPr>
            <w:tcW w:w="206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▲最大起升高度</w:t>
            </w:r>
          </w:p>
        </w:tc>
        <w:tc>
          <w:tcPr>
            <w:tcW w:w="331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≥3000MM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5" w:hRule="atLeast"/>
          <w:jc w:val="center"/>
        </w:trPr>
        <w:tc>
          <w:tcPr>
            <w:tcW w:w="61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2</w:t>
            </w:r>
          </w:p>
        </w:tc>
        <w:tc>
          <w:tcPr>
            <w:tcW w:w="224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操作形式</w:t>
            </w:r>
          </w:p>
        </w:tc>
        <w:tc>
          <w:tcPr>
            <w:tcW w:w="183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座驾式</w:t>
            </w:r>
          </w:p>
        </w:tc>
        <w:tc>
          <w:tcPr>
            <w:tcW w:w="6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sz w:val="24"/>
                <w:szCs w:val="24"/>
                <w:lang w:val="en-US" w:eastAsia="zh-CN"/>
              </w:rPr>
              <w:t>10</w:t>
            </w:r>
          </w:p>
        </w:tc>
        <w:tc>
          <w:tcPr>
            <w:tcW w:w="206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起升速度</w:t>
            </w:r>
          </w:p>
        </w:tc>
        <w:tc>
          <w:tcPr>
            <w:tcW w:w="331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380</w:t>
            </w:r>
            <w:r>
              <w:rPr>
                <w:rFonts w:hint="eastAsia" w:ascii="宋体" w:hAnsi="宋体" w:eastAsia="宋体" w:cs="宋体"/>
                <w:color w:val="auto"/>
                <w:sz w:val="24"/>
                <w:szCs w:val="24"/>
              </w:rPr>
              <w:t>MM/</w:t>
            </w:r>
            <w:r>
              <w:rPr>
                <w:rFonts w:hint="eastAsia" w:ascii="宋体" w:hAnsi="宋体" w:eastAsia="宋体" w:cs="宋体"/>
                <w:color w:val="auto"/>
                <w:sz w:val="24"/>
                <w:szCs w:val="24"/>
                <w:lang w:val="en-US" w:eastAsia="zh-C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jc w:val="center"/>
        </w:trPr>
        <w:tc>
          <w:tcPr>
            <w:tcW w:w="61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jc w:val="center"/>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sz w:val="24"/>
                <w:szCs w:val="24"/>
                <w:lang w:val="en-US" w:eastAsia="zh-CN"/>
              </w:rPr>
              <w:t>3</w:t>
            </w:r>
          </w:p>
        </w:tc>
        <w:tc>
          <w:tcPr>
            <w:tcW w:w="224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▲额定载荷</w:t>
            </w:r>
          </w:p>
        </w:tc>
        <w:tc>
          <w:tcPr>
            <w:tcW w:w="183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5000</w:t>
            </w:r>
            <w:r>
              <w:rPr>
                <w:rFonts w:hint="eastAsia" w:ascii="宋体" w:hAnsi="宋体" w:eastAsia="宋体" w:cs="宋体"/>
                <w:color w:val="auto"/>
                <w:sz w:val="24"/>
                <w:szCs w:val="24"/>
              </w:rPr>
              <w:t>KG</w:t>
            </w:r>
          </w:p>
        </w:tc>
        <w:tc>
          <w:tcPr>
            <w:tcW w:w="6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sz w:val="24"/>
                <w:szCs w:val="24"/>
              </w:rPr>
              <w:t>11</w:t>
            </w:r>
          </w:p>
        </w:tc>
        <w:tc>
          <w:tcPr>
            <w:tcW w:w="206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最小转弯半径</w:t>
            </w:r>
          </w:p>
        </w:tc>
        <w:tc>
          <w:tcPr>
            <w:tcW w:w="331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3340</w:t>
            </w:r>
            <w:r>
              <w:rPr>
                <w:rFonts w:hint="eastAsia" w:ascii="宋体" w:hAnsi="宋体" w:eastAsia="宋体" w:cs="宋体"/>
                <w:color w:val="auto"/>
                <w:sz w:val="24"/>
                <w:szCs w:val="24"/>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5" w:hRule="atLeast"/>
          <w:jc w:val="center"/>
        </w:trPr>
        <w:tc>
          <w:tcPr>
            <w:tcW w:w="61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jc w:val="center"/>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sz w:val="24"/>
                <w:szCs w:val="24"/>
                <w:lang w:val="en-US" w:eastAsia="zh-CN"/>
              </w:rPr>
              <w:t>4</w:t>
            </w:r>
          </w:p>
        </w:tc>
        <w:tc>
          <w:tcPr>
            <w:tcW w:w="224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▲载荷中心距</w:t>
            </w:r>
          </w:p>
        </w:tc>
        <w:tc>
          <w:tcPr>
            <w:tcW w:w="183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600</w:t>
            </w:r>
            <w:r>
              <w:rPr>
                <w:rFonts w:hint="eastAsia" w:ascii="宋体" w:hAnsi="宋体" w:eastAsia="宋体" w:cs="宋体"/>
                <w:color w:val="auto"/>
                <w:sz w:val="24"/>
                <w:szCs w:val="24"/>
              </w:rPr>
              <w:t>MM</w:t>
            </w:r>
          </w:p>
        </w:tc>
        <w:tc>
          <w:tcPr>
            <w:tcW w:w="6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rPr>
              <w:t>1</w:t>
            </w:r>
            <w:r>
              <w:rPr>
                <w:rFonts w:hint="eastAsia" w:ascii="宋体" w:hAnsi="宋体" w:eastAsia="宋体" w:cs="宋体"/>
                <w:b/>
                <w:bCs/>
                <w:color w:val="auto"/>
                <w:sz w:val="24"/>
                <w:szCs w:val="24"/>
                <w:lang w:val="en-US" w:eastAsia="zh-CN"/>
              </w:rPr>
              <w:t>2</w:t>
            </w:r>
          </w:p>
        </w:tc>
        <w:tc>
          <w:tcPr>
            <w:tcW w:w="206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轮胎数量（前/后，只）</w:t>
            </w:r>
          </w:p>
        </w:tc>
        <w:tc>
          <w:tcPr>
            <w:tcW w:w="331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前4后2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0" w:hRule="atLeast"/>
          <w:jc w:val="center"/>
        </w:trPr>
        <w:tc>
          <w:tcPr>
            <w:tcW w:w="61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jc w:val="center"/>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sz w:val="24"/>
                <w:szCs w:val="24"/>
                <w:lang w:val="en-US" w:eastAsia="zh-CN"/>
              </w:rPr>
              <w:t>5</w:t>
            </w:r>
          </w:p>
        </w:tc>
        <w:tc>
          <w:tcPr>
            <w:tcW w:w="224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门架倾角</w:t>
            </w:r>
          </w:p>
        </w:tc>
        <w:tc>
          <w:tcPr>
            <w:tcW w:w="183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6/12</w:t>
            </w:r>
          </w:p>
        </w:tc>
        <w:tc>
          <w:tcPr>
            <w:tcW w:w="6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rPr>
              <w:t>1</w:t>
            </w:r>
            <w:r>
              <w:rPr>
                <w:rFonts w:hint="eastAsia" w:ascii="宋体" w:hAnsi="宋体" w:eastAsia="宋体" w:cs="宋体"/>
                <w:b/>
                <w:bCs/>
                <w:color w:val="auto"/>
                <w:sz w:val="24"/>
                <w:szCs w:val="24"/>
                <w:lang w:val="en-US" w:eastAsia="zh-CN"/>
              </w:rPr>
              <w:t>3</w:t>
            </w:r>
          </w:p>
        </w:tc>
        <w:tc>
          <w:tcPr>
            <w:tcW w:w="206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最小离地间距</w:t>
            </w:r>
          </w:p>
        </w:tc>
        <w:tc>
          <w:tcPr>
            <w:tcW w:w="331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190</w:t>
            </w:r>
            <w:r>
              <w:rPr>
                <w:rFonts w:hint="eastAsia" w:ascii="宋体" w:hAnsi="宋体" w:eastAsia="宋体" w:cs="宋体"/>
                <w:color w:val="auto"/>
                <w:sz w:val="24"/>
                <w:szCs w:val="24"/>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0" w:hRule="atLeast"/>
          <w:jc w:val="center"/>
        </w:trPr>
        <w:tc>
          <w:tcPr>
            <w:tcW w:w="61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jc w:val="center"/>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sz w:val="24"/>
                <w:szCs w:val="24"/>
                <w:lang w:val="en-US" w:eastAsia="zh-CN"/>
              </w:rPr>
              <w:t>6</w:t>
            </w:r>
          </w:p>
        </w:tc>
        <w:tc>
          <w:tcPr>
            <w:tcW w:w="224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标准起升高度</w:t>
            </w:r>
          </w:p>
        </w:tc>
        <w:tc>
          <w:tcPr>
            <w:tcW w:w="183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≥3000MM</w:t>
            </w:r>
          </w:p>
        </w:tc>
        <w:tc>
          <w:tcPr>
            <w:tcW w:w="6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rPr>
              <w:t>1</w:t>
            </w:r>
            <w:r>
              <w:rPr>
                <w:rFonts w:hint="eastAsia" w:ascii="宋体" w:hAnsi="宋体" w:eastAsia="宋体" w:cs="宋体"/>
                <w:b/>
                <w:bCs/>
                <w:color w:val="auto"/>
                <w:sz w:val="24"/>
                <w:szCs w:val="24"/>
                <w:lang w:val="en-US" w:eastAsia="zh-CN"/>
              </w:rPr>
              <w:t>4</w:t>
            </w:r>
          </w:p>
        </w:tc>
        <w:tc>
          <w:tcPr>
            <w:tcW w:w="206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额定功率KW</w:t>
            </w:r>
          </w:p>
        </w:tc>
        <w:tc>
          <w:tcPr>
            <w:tcW w:w="3315" w:type="dxa"/>
            <w:tcBorders>
              <w:top w:val="single" w:color="auto" w:sz="4" w:space="0"/>
              <w:left w:val="single" w:color="auto" w:sz="4" w:space="0"/>
              <w:right w:val="single" w:color="auto" w:sz="4" w:space="0"/>
            </w:tcBorders>
            <w:noWrap w:val="0"/>
            <w:vAlign w:val="center"/>
          </w:tcPr>
          <w:p>
            <w:pPr>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85KW/2200rpm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0" w:hRule="atLeast"/>
          <w:jc w:val="center"/>
        </w:trPr>
        <w:tc>
          <w:tcPr>
            <w:tcW w:w="61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jc w:val="center"/>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sz w:val="24"/>
                <w:szCs w:val="24"/>
                <w:lang w:val="en-US" w:eastAsia="zh-CN"/>
              </w:rPr>
              <w:t>7</w:t>
            </w:r>
          </w:p>
        </w:tc>
        <w:tc>
          <w:tcPr>
            <w:tcW w:w="224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标准货叉尺寸</w:t>
            </w:r>
          </w:p>
          <w:p>
            <w:pPr>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（长*宽*厚）</w:t>
            </w:r>
          </w:p>
        </w:tc>
        <w:tc>
          <w:tcPr>
            <w:tcW w:w="183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1220</w:t>
            </w:r>
            <w:r>
              <w:rPr>
                <w:rFonts w:hint="eastAsia" w:ascii="宋体" w:hAnsi="宋体" w:eastAsia="宋体" w:cs="宋体"/>
                <w:color w:val="auto"/>
                <w:sz w:val="24"/>
                <w:szCs w:val="24"/>
              </w:rPr>
              <w:t>MM</w:t>
            </w:r>
            <w:r>
              <w:rPr>
                <w:rFonts w:hint="eastAsia" w:ascii="宋体" w:hAnsi="宋体" w:eastAsia="宋体" w:cs="宋体"/>
                <w:color w:val="auto"/>
                <w:sz w:val="24"/>
                <w:szCs w:val="24"/>
                <w:lang w:val="en-US" w:eastAsia="zh-CN"/>
              </w:rPr>
              <w:t>×150</w:t>
            </w:r>
            <w:r>
              <w:rPr>
                <w:rFonts w:hint="eastAsia" w:ascii="宋体" w:hAnsi="宋体" w:eastAsia="宋体" w:cs="宋体"/>
                <w:color w:val="auto"/>
                <w:sz w:val="24"/>
                <w:szCs w:val="24"/>
              </w:rPr>
              <w:t>MM</w:t>
            </w:r>
            <w:r>
              <w:rPr>
                <w:rFonts w:hint="eastAsia" w:ascii="宋体" w:hAnsi="宋体" w:eastAsia="宋体" w:cs="宋体"/>
                <w:color w:val="auto"/>
                <w:sz w:val="24"/>
                <w:szCs w:val="24"/>
                <w:lang w:val="en-US" w:eastAsia="zh-CN"/>
              </w:rPr>
              <w:t>×60</w:t>
            </w:r>
            <w:r>
              <w:rPr>
                <w:rFonts w:hint="eastAsia" w:ascii="宋体" w:hAnsi="宋体" w:eastAsia="宋体" w:cs="宋体"/>
                <w:color w:val="auto"/>
                <w:sz w:val="24"/>
                <w:szCs w:val="24"/>
              </w:rPr>
              <w:t>MM</w:t>
            </w:r>
          </w:p>
        </w:tc>
        <w:tc>
          <w:tcPr>
            <w:tcW w:w="6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rPr>
              <w:t>1</w:t>
            </w:r>
            <w:r>
              <w:rPr>
                <w:rFonts w:hint="eastAsia" w:ascii="宋体" w:hAnsi="宋体" w:eastAsia="宋体" w:cs="宋体"/>
                <w:b/>
                <w:bCs/>
                <w:color w:val="auto"/>
                <w:sz w:val="24"/>
                <w:szCs w:val="24"/>
                <w:lang w:val="en-US" w:eastAsia="zh-CN"/>
              </w:rPr>
              <w:t>5</w:t>
            </w:r>
          </w:p>
        </w:tc>
        <w:tc>
          <w:tcPr>
            <w:tcW w:w="206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轴距</w:t>
            </w:r>
          </w:p>
        </w:tc>
        <w:tc>
          <w:tcPr>
            <w:tcW w:w="3315" w:type="dxa"/>
            <w:tcBorders>
              <w:left w:val="single" w:color="auto" w:sz="4" w:space="0"/>
              <w:right w:val="single" w:color="auto" w:sz="4" w:space="0"/>
            </w:tcBorders>
            <w:noWrap w:val="0"/>
            <w:vAlign w:val="center"/>
          </w:tcPr>
          <w:p>
            <w:pPr>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2250</w:t>
            </w:r>
            <w:r>
              <w:rPr>
                <w:rFonts w:hint="eastAsia" w:ascii="宋体" w:hAnsi="宋体" w:eastAsia="宋体" w:cs="宋体"/>
                <w:color w:val="auto"/>
                <w:sz w:val="24"/>
                <w:szCs w:val="24"/>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0" w:hRule="atLeast"/>
          <w:jc w:val="center"/>
        </w:trPr>
        <w:tc>
          <w:tcPr>
            <w:tcW w:w="61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auto"/>
              <w:jc w:val="center"/>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sz w:val="24"/>
                <w:szCs w:val="24"/>
                <w:lang w:val="en-US" w:eastAsia="zh-CN"/>
              </w:rPr>
              <w:t>8</w:t>
            </w:r>
          </w:p>
        </w:tc>
        <w:tc>
          <w:tcPr>
            <w:tcW w:w="224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闭合门架高度</w:t>
            </w:r>
          </w:p>
        </w:tc>
        <w:tc>
          <w:tcPr>
            <w:tcW w:w="183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2600</w:t>
            </w:r>
            <w:r>
              <w:rPr>
                <w:rFonts w:hint="eastAsia" w:ascii="宋体" w:hAnsi="宋体" w:eastAsia="宋体" w:cs="宋体"/>
                <w:color w:val="auto"/>
                <w:sz w:val="24"/>
                <w:szCs w:val="24"/>
              </w:rPr>
              <w:t>MM</w:t>
            </w:r>
          </w:p>
        </w:tc>
        <w:tc>
          <w:tcPr>
            <w:tcW w:w="6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16</w:t>
            </w:r>
          </w:p>
        </w:tc>
        <w:tc>
          <w:tcPr>
            <w:tcW w:w="206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货叉套</w:t>
            </w:r>
          </w:p>
        </w:tc>
        <w:tc>
          <w:tcPr>
            <w:tcW w:w="3315" w:type="dxa"/>
            <w:tcBorders>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满足长12192mm、宽2438mm、高2896mm空载冷链集装箱使用（提供证明文件复印件加盖投标人公章）</w:t>
            </w:r>
          </w:p>
        </w:tc>
      </w:tr>
    </w:tbl>
    <w:p>
      <w:pPr>
        <w:pStyle w:val="3"/>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注：加“▲”号的为实质性效应参数，若未响应，则为无效标。</w:t>
      </w:r>
    </w:p>
    <w:p>
      <w:pPr>
        <w:pStyle w:val="3"/>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eastAsia" w:eastAsia="宋体" w:cs="Times New Roman"/>
          <w:b/>
          <w:bCs/>
          <w:color w:val="auto"/>
          <w:sz w:val="24"/>
          <w:szCs w:val="24"/>
          <w:lang w:val="en-US" w:eastAsia="zh-CN"/>
        </w:rPr>
      </w:pPr>
      <w:r>
        <w:rPr>
          <w:rFonts w:hint="eastAsia" w:eastAsia="宋体" w:cs="Times New Roman"/>
          <w:b/>
          <w:bCs/>
          <w:color w:val="auto"/>
          <w:sz w:val="24"/>
          <w:szCs w:val="24"/>
          <w:lang w:val="en-US" w:eastAsia="zh-CN"/>
        </w:rPr>
        <w:t>样式（如下图）：</w:t>
      </w:r>
    </w:p>
    <w:p>
      <w:pPr>
        <w:pStyle w:val="3"/>
        <w:keepNext/>
        <w:keepLines/>
        <w:pageBreakBefore w:val="0"/>
        <w:widowControl w:val="0"/>
        <w:kinsoku/>
        <w:wordWrap/>
        <w:overflowPunct/>
        <w:topLinePunct w:val="0"/>
        <w:autoSpaceDE/>
        <w:autoSpaceDN/>
        <w:bidi w:val="0"/>
        <w:adjustRightInd/>
        <w:snapToGrid/>
        <w:spacing w:before="0" w:after="0" w:line="360" w:lineRule="auto"/>
        <w:ind w:firstLine="881" w:firstLineChars="200"/>
        <w:jc w:val="left"/>
        <w:textAlignment w:val="auto"/>
        <w:rPr>
          <w:color w:val="auto"/>
        </w:rPr>
      </w:pPr>
      <w:r>
        <w:rPr>
          <w:color w:val="auto"/>
        </w:rPr>
        <w:drawing>
          <wp:inline distT="0" distB="0" distL="114300" distR="114300">
            <wp:extent cx="4049395" cy="2486660"/>
            <wp:effectExtent l="0" t="0" r="8255" b="889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7"/>
                    <a:stretch>
                      <a:fillRect/>
                    </a:stretch>
                  </pic:blipFill>
                  <pic:spPr>
                    <a:xfrm>
                      <a:off x="0" y="0"/>
                      <a:ext cx="4049395" cy="2486660"/>
                    </a:xfrm>
                    <a:prstGeom prst="rect">
                      <a:avLst/>
                    </a:prstGeom>
                    <a:noFill/>
                    <a:ln>
                      <a:noFill/>
                    </a:ln>
                  </pic:spPr>
                </pic:pic>
              </a:graphicData>
            </a:graphic>
          </wp:inline>
        </w:drawing>
      </w:r>
    </w:p>
    <w:p>
      <w:pPr>
        <w:pStyle w:val="3"/>
        <w:keepNext/>
        <w:keepLines/>
        <w:pageBreakBefore w:val="0"/>
        <w:widowControl w:val="0"/>
        <w:kinsoku/>
        <w:wordWrap/>
        <w:overflowPunct/>
        <w:topLinePunct w:val="0"/>
        <w:autoSpaceDE/>
        <w:autoSpaceDN/>
        <w:bidi w:val="0"/>
        <w:adjustRightInd/>
        <w:snapToGrid/>
        <w:spacing w:before="0" w:after="0" w:line="360" w:lineRule="auto"/>
        <w:ind w:firstLine="561" w:firstLineChars="200"/>
        <w:jc w:val="left"/>
        <w:textAlignment w:val="auto"/>
        <w:rPr>
          <w:rFonts w:hint="eastAsia" w:eastAsia="宋体" w:cs="Times New Roman"/>
          <w:b/>
          <w:bCs/>
          <w:color w:val="auto"/>
          <w:sz w:val="24"/>
          <w:szCs w:val="24"/>
          <w:lang w:val="en-US" w:eastAsia="zh-CN"/>
        </w:rPr>
      </w:pPr>
      <w:r>
        <w:rPr>
          <w:rFonts w:hint="eastAsia" w:eastAsia="宋体"/>
          <w:color w:val="auto"/>
          <w:sz w:val="28"/>
          <w:szCs w:val="28"/>
          <w:lang w:val="en-US" w:eastAsia="zh-CN"/>
        </w:rPr>
        <w:t>此图仅作为样式参考，非最终供货产品。</w:t>
      </w:r>
      <w:r>
        <w:rPr>
          <w:rFonts w:hint="eastAsia" w:eastAsia="宋体" w:cs="Times New Roman"/>
          <w:b/>
          <w:bCs/>
          <w:color w:val="auto"/>
          <w:sz w:val="24"/>
          <w:szCs w:val="24"/>
          <w:lang w:val="en-US" w:eastAsia="zh-CN"/>
        </w:rPr>
        <w:br w:type="page"/>
      </w:r>
      <w:r>
        <w:rPr>
          <w:rFonts w:hint="eastAsia" w:eastAsia="宋体" w:cs="Times New Roman"/>
          <w:b/>
          <w:bCs/>
          <w:color w:val="auto"/>
          <w:sz w:val="24"/>
          <w:szCs w:val="24"/>
          <w:lang w:val="en-US" w:eastAsia="zh-CN"/>
        </w:rPr>
        <w:t>二、技术要求</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1、车体是叉车的主体结构，用不低于5mm钢板制成，车体强度高，可承受重载。</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2、门架采用宽视野门架，起升液压缸为两侧放置。</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3、驾驶室采用舒适的液压减振悬挂式座椅，能够根据驾驶员的身高和体重进行调整。方向盘立柱的倾角可根据驾驶员的要求进行调节。</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4、采用机械式停车制动和液压式行车制动。</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5、柴油叉车制动系统装有主导真空增压器，可保证任何时候都有足够的主动压力，既增加了制动的安全性，又减轻了驾驶员的劳动强度。</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6、液压系统</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液压元器件保证液压系统的可靠性。起升过载保护，液压系统防爆设计。液压结构密封设计优良，密封性高，降低液压系统的渗漏可能性。</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液压系统优化带载作业缓冲功能，避免对货物及作业地面的冲击，并且不影响下降速度，保证作业效率。</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液压管路接头全部由管端成型机一次成型，杜绝因焊接接头而造成的渗漏。液压系统中设有高、低压过滤器，保证液压油的清洁度，避免液压阀卡滞现象的发生。</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7、电气元器件整车采用全密封插接件，提高防尘防水性能。采用集中式控制保险，检查维护更方便高效。</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、叉车除正常配置外，另需再加一个警示灯（叉车运行时声光报警），安装在护顶架上。</w:t>
      </w:r>
    </w:p>
    <w:p>
      <w:pPr>
        <w:pStyle w:val="2"/>
        <w:rPr>
          <w:rFonts w:hint="default" w:eastAsia="宋体"/>
          <w:color w:val="auto"/>
          <w:lang w:val="en-US" w:eastAsia="zh-CN"/>
        </w:rPr>
      </w:pPr>
      <w:r>
        <w:rPr>
          <w:rFonts w:hint="eastAsia" w:ascii="宋体" w:hAnsi="宋体" w:eastAsia="宋体" w:cs="宋体"/>
          <w:color w:val="auto"/>
          <w:sz w:val="24"/>
          <w:szCs w:val="24"/>
          <w:lang w:val="en-US" w:eastAsia="zh-CN"/>
        </w:rPr>
        <w:t>10、需具备侧移或相应功能。</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三、</w:t>
      </w:r>
      <w:r>
        <w:rPr>
          <w:rFonts w:hint="eastAsia" w:ascii="宋体" w:hAnsi="宋体" w:eastAsia="宋体" w:cs="宋体"/>
          <w:b/>
          <w:bCs/>
          <w:color w:val="auto"/>
          <w:sz w:val="24"/>
          <w:szCs w:val="24"/>
        </w:rPr>
        <w:t>性能保证及验收</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1.叉车制造标准与质量要求应满足国家相关行业规定要求</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2、设备性能考核及验收</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叉车设计合理、使用维护方便可靠，其设计制造、安装、检验标准以国家、环保部门等相应标准为准，设备零部件尽可能采用通用件和标准件。提供的设备技术先进、成熟可靠，质量符合国家标准。</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设备到场后，连续正常运转 24 小时以上，性能指标达到各项技术性能参数所要求的指标。设备性能考核合格后签定相应的验收报告。</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bCs w:val="0"/>
          <w:color w:val="auto"/>
          <w:sz w:val="24"/>
          <w:szCs w:val="24"/>
          <w:lang w:val="en-US" w:eastAsia="zh-CN"/>
        </w:rPr>
        <w:t>4</w:t>
      </w:r>
      <w:r>
        <w:rPr>
          <w:rFonts w:hint="eastAsia" w:ascii="宋体" w:hAnsi="宋体" w:eastAsia="宋体" w:cs="宋体"/>
          <w:b w:val="0"/>
          <w:bCs w:val="0"/>
          <w:color w:val="auto"/>
          <w:sz w:val="24"/>
          <w:szCs w:val="24"/>
        </w:rPr>
        <w:t>、质保期：</w:t>
      </w:r>
      <w:r>
        <w:rPr>
          <w:rFonts w:hint="eastAsia" w:ascii="宋体" w:hAnsi="宋体" w:eastAsia="宋体" w:cs="宋体"/>
          <w:b w:val="0"/>
          <w:color w:val="auto"/>
          <w:sz w:val="24"/>
          <w:szCs w:val="24"/>
          <w:highlight w:val="none"/>
        </w:rPr>
        <w:t>本项目设备要求提供</w:t>
      </w:r>
      <w:r>
        <w:rPr>
          <w:rFonts w:hint="eastAsia" w:hAnsi="宋体" w:eastAsia="宋体" w:cs="宋体"/>
          <w:b w:val="0"/>
          <w:color w:val="auto"/>
          <w:sz w:val="24"/>
          <w:szCs w:val="24"/>
          <w:highlight w:val="none"/>
          <w:lang w:val="en-US" w:eastAsia="zh-CN"/>
        </w:rPr>
        <w:t>两</w:t>
      </w:r>
      <w:r>
        <w:rPr>
          <w:rFonts w:hint="eastAsia" w:ascii="宋体" w:hAnsi="宋体" w:eastAsia="宋体" w:cs="宋体"/>
          <w:b w:val="0"/>
          <w:color w:val="auto"/>
          <w:sz w:val="24"/>
          <w:szCs w:val="24"/>
          <w:highlight w:val="none"/>
        </w:rPr>
        <w:t>年的免费质保期（若有设备原厂商提供更长质保期，则按最长的质保期执行），质保期从验收合格交付使用之日起算；保质期内因产品本身缺陷（非人为因素）造成各种故障应由中标供应商免费技术服务和维修。</w:t>
      </w:r>
    </w:p>
    <w:p>
      <w:pPr>
        <w:pStyle w:val="6"/>
        <w:keepNext w:val="0"/>
        <w:keepLines w:val="0"/>
        <w:pageBreakBefore w:val="0"/>
        <w:widowControl w:val="0"/>
        <w:kinsoku/>
        <w:wordWrap/>
        <w:overflowPunct/>
        <w:topLinePunct w:val="0"/>
        <w:autoSpaceDE/>
        <w:autoSpaceDN/>
        <w:bidi w:val="0"/>
        <w:adjustRightInd/>
        <w:snapToGrid/>
        <w:spacing w:before="0" w:after="0" w:line="360" w:lineRule="auto"/>
        <w:ind w:lef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四</w:t>
      </w:r>
      <w:r>
        <w:rPr>
          <w:rFonts w:hint="eastAsia" w:ascii="宋体" w:hAnsi="宋体" w:eastAsia="宋体" w:cs="宋体"/>
          <w:color w:val="auto"/>
          <w:sz w:val="24"/>
          <w:szCs w:val="24"/>
        </w:rPr>
        <w:t>、防腐包装及运输要求</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叉车涂装要求采用高质量涂料耐高温、耐腐蚀，车颜色由买方提供色号（颜色和色样符合JB2299规定），并在车身两端醒目处分别喷有“严禁超载”和“限载××T”的字样。整车面漆要求为底漆一道，防锈漆一道，面漆二道。</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2、叉车所有的钢结构、机械设备及所有零部件都要作喷砂处理。</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3、漆膜的外观检查为湿膜不缩边、缩水、起泡、发白、失光，涂料流挂。面漆均匀，平整、色泽一致，无漏漆、流漆、开裂、针孔、脱层等缺陷。</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叉车各设备的组装和零部件应在明显位置设有载重量标志及产品标牌；标牌内容包括：制造厂名称、产品名称、产品型号、自重、主要技术参数（载重量、电动机功率）、制造编号、出厂年月、环保标识等。标牌尺寸为标准尺寸。</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5、为保证全部货物安全准时到达需方现场，投标方采用汽车送货的方式运输，将货物直接送达需方安装现场井陉矿区新基地。</w:t>
      </w:r>
    </w:p>
    <w:p>
      <w:pPr>
        <w:pStyle w:val="6"/>
        <w:keepNext w:val="0"/>
        <w:keepLines w:val="0"/>
        <w:pageBreakBefore w:val="0"/>
        <w:widowControl w:val="0"/>
        <w:kinsoku/>
        <w:wordWrap/>
        <w:overflowPunct/>
        <w:topLinePunct w:val="0"/>
        <w:autoSpaceDE/>
        <w:autoSpaceDN/>
        <w:bidi w:val="0"/>
        <w:adjustRightInd/>
        <w:snapToGrid/>
        <w:spacing w:before="0" w:after="0" w:line="360" w:lineRule="auto"/>
        <w:ind w:lef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五</w:t>
      </w:r>
      <w:r>
        <w:rPr>
          <w:rFonts w:hint="eastAsia" w:ascii="宋体" w:hAnsi="宋体" w:eastAsia="宋体" w:cs="宋体"/>
          <w:color w:val="auto"/>
          <w:sz w:val="24"/>
          <w:szCs w:val="24"/>
        </w:rPr>
        <w:t>、人员培训和售后服务</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1、为了使设备安装、调试顺利进行，投标方向招标方派遣技术熟练、身体健康和有经验的技术人员到工作现场进行技术服务。负责与招标方现场总代表共同合作，解决有关设备设施的技术问题。</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2、投标方负责对现场人员的进行培训，培训包括理论培训和现场培训。</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2.1、培训内容应包含有关设备的组成、原理、结构、功能、故障诊断、使用维护注意事项内容。</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2.2、培训对象包括：技术人员、操作人员和设备维护人员</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color w:val="auto"/>
          <w:sz w:val="24"/>
          <w:szCs w:val="24"/>
        </w:rPr>
      </w:pPr>
      <w:bookmarkStart w:id="16" w:name="_Toc31759"/>
      <w:r>
        <w:rPr>
          <w:rFonts w:hint="eastAsia" w:ascii="宋体" w:hAnsi="宋体" w:eastAsia="宋体" w:cs="宋体"/>
          <w:color w:val="auto"/>
          <w:sz w:val="24"/>
          <w:szCs w:val="24"/>
        </w:rPr>
        <w:t>3、</w:t>
      </w:r>
      <w:bookmarkEnd w:id="16"/>
      <w:r>
        <w:rPr>
          <w:rFonts w:hint="eastAsia" w:ascii="宋体" w:hAnsi="宋体" w:eastAsia="宋体" w:cs="宋体"/>
          <w:color w:val="auto"/>
          <w:sz w:val="24"/>
          <w:szCs w:val="24"/>
        </w:rPr>
        <w:t>质保期内投标方保持7×24应答方式，负责设备的检修、损坏零部件的更换。在检修或零部件更换过程中所需的专用工具由投标方自行配备。</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3.1、投标方在收到需方售后服务要求（附设备故障描述）通知后，在2小时内通过电话、传真或e-mail做出答复，诊断、排除故障。</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3.2、若远程无法解决问题，接到用户报修电话通知后，应在</w:t>
      </w:r>
      <w:r>
        <w:rPr>
          <w:rFonts w:hint="eastAsia" w:ascii="宋体" w:hAnsi="宋体" w:eastAsia="宋体" w:cs="宋体"/>
          <w:color w:val="auto"/>
          <w:sz w:val="24"/>
          <w:szCs w:val="24"/>
          <w:lang w:val="en-US" w:eastAsia="zh-CN"/>
        </w:rPr>
        <w:t>24</w:t>
      </w:r>
      <w:r>
        <w:rPr>
          <w:rFonts w:hint="eastAsia" w:ascii="宋体" w:hAnsi="宋体" w:eastAsia="宋体" w:cs="宋体"/>
          <w:color w:val="auto"/>
          <w:sz w:val="24"/>
          <w:szCs w:val="24"/>
        </w:rPr>
        <w:t>小时内上门服务，并在</w:t>
      </w:r>
      <w:r>
        <w:rPr>
          <w:rFonts w:hint="eastAsia" w:ascii="宋体" w:hAnsi="宋体" w:eastAsia="宋体" w:cs="宋体"/>
          <w:color w:val="auto"/>
          <w:sz w:val="24"/>
          <w:szCs w:val="24"/>
          <w:lang w:val="en-US" w:eastAsia="zh-CN"/>
        </w:rPr>
        <w:t>48</w:t>
      </w:r>
      <w:r>
        <w:rPr>
          <w:rFonts w:hint="eastAsia" w:ascii="宋体" w:hAnsi="宋体" w:eastAsia="宋体" w:cs="宋体"/>
          <w:color w:val="auto"/>
          <w:sz w:val="24"/>
          <w:szCs w:val="24"/>
        </w:rPr>
        <w:t>小时内修复。</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3.3、质保期内对设备进行1次全面检查和发动机保养，了解设备使用情况，处理现场问题，进行必要的设备维护。</w:t>
      </w:r>
    </w:p>
    <w:p>
      <w:pPr>
        <w:pStyle w:val="5"/>
        <w:adjustRightInd w:val="0"/>
        <w:snapToGrid w:val="0"/>
        <w:spacing w:after="120" w:line="440" w:lineRule="atLeast"/>
        <w:ind w:firstLine="480"/>
        <w:jc w:val="both"/>
        <w:rPr>
          <w:rFonts w:hint="eastAsia" w:ascii="宋体" w:hAnsi="宋体" w:eastAsia="宋体" w:cs="宋体"/>
          <w:color w:val="auto"/>
          <w:sz w:val="24"/>
          <w:szCs w:val="24"/>
        </w:rPr>
      </w:pPr>
      <w:r>
        <w:rPr>
          <w:rFonts w:hint="eastAsia" w:ascii="宋体" w:hAnsi="宋体" w:eastAsia="宋体" w:cs="宋体"/>
          <w:color w:val="auto"/>
          <w:sz w:val="24"/>
          <w:szCs w:val="24"/>
        </w:rPr>
        <w:t>3.4、保修期内的上述服务及备件更换均为免费。</w:t>
      </w:r>
    </w:p>
    <w:p>
      <w:pPr>
        <w:pStyle w:val="5"/>
        <w:adjustRightInd w:val="0"/>
        <w:snapToGrid w:val="0"/>
        <w:spacing w:line="440" w:lineRule="atLeast"/>
        <w:ind w:firstLine="480"/>
        <w:rPr>
          <w:rFonts w:hint="eastAsia" w:ascii="宋体" w:hAnsi="宋体" w:eastAsia="宋体" w:cs="宋体"/>
          <w:b/>
          <w:color w:val="auto"/>
          <w:kern w:val="2"/>
          <w:sz w:val="24"/>
          <w:szCs w:val="24"/>
          <w:lang w:val="en-US" w:eastAsia="zh-CN" w:bidi="ar-SA"/>
        </w:rPr>
      </w:pPr>
      <w:r>
        <w:rPr>
          <w:rFonts w:hint="eastAsia" w:ascii="宋体" w:hAnsi="宋体" w:eastAsia="宋体" w:cs="宋体"/>
          <w:b/>
          <w:color w:val="auto"/>
          <w:kern w:val="2"/>
          <w:sz w:val="24"/>
          <w:szCs w:val="24"/>
          <w:lang w:val="en-US" w:eastAsia="zh-CN" w:bidi="ar-SA"/>
        </w:rPr>
        <w:t>六、交货期</w:t>
      </w:r>
    </w:p>
    <w:p>
      <w:pPr>
        <w:pStyle w:val="5"/>
        <w:adjustRightInd w:val="0"/>
        <w:snapToGrid w:val="0"/>
        <w:spacing w:line="440" w:lineRule="atLeas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中标供应商在合同签订后</w:t>
      </w: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日历天内供货并验收合格。</w:t>
      </w:r>
    </w:p>
    <w:p>
      <w:pPr>
        <w:snapToGrid w:val="0"/>
        <w:spacing w:line="500" w:lineRule="exact"/>
        <w:ind w:firstLine="480"/>
        <w:rPr>
          <w:rFonts w:hint="eastAsia" w:ascii="宋体" w:hAnsi="宋体" w:eastAsia="宋体" w:cs="宋体"/>
          <w:b/>
          <w:bCs/>
          <w:color w:val="auto"/>
          <w:sz w:val="24"/>
          <w:szCs w:val="24"/>
          <w:lang w:eastAsia="zh-CN"/>
        </w:rPr>
      </w:pPr>
      <w:r>
        <w:rPr>
          <w:rFonts w:hint="eastAsia" w:ascii="宋体" w:hAnsi="宋体" w:cs="宋体"/>
          <w:b/>
          <w:bCs/>
          <w:color w:val="auto"/>
          <w:sz w:val="24"/>
          <w:szCs w:val="24"/>
          <w:lang w:val="en-US" w:eastAsia="zh-CN"/>
        </w:rPr>
        <w:t>七、</w:t>
      </w:r>
      <w:r>
        <w:rPr>
          <w:rFonts w:hint="eastAsia" w:ascii="宋体" w:hAnsi="宋体" w:cs="宋体"/>
          <w:b/>
          <w:bCs/>
          <w:color w:val="auto"/>
          <w:sz w:val="24"/>
          <w:szCs w:val="24"/>
        </w:rPr>
        <w:t>付款方式</w:t>
      </w:r>
      <w:r>
        <w:rPr>
          <w:rFonts w:hint="eastAsia" w:ascii="宋体" w:hAnsi="宋体" w:cs="宋体"/>
          <w:b/>
          <w:bCs/>
          <w:color w:val="auto"/>
          <w:sz w:val="24"/>
          <w:szCs w:val="24"/>
          <w:lang w:eastAsia="zh-CN"/>
        </w:rPr>
        <w:t>（</w:t>
      </w:r>
      <w:r>
        <w:rPr>
          <w:rFonts w:hint="eastAsia" w:ascii="宋体" w:hAnsi="宋体" w:cs="宋体"/>
          <w:b/>
          <w:bCs/>
          <w:color w:val="auto"/>
          <w:sz w:val="24"/>
          <w:szCs w:val="24"/>
          <w:lang w:val="en-US" w:eastAsia="zh-CN"/>
        </w:rPr>
        <w:t>标项一、二、三</w:t>
      </w:r>
      <w:r>
        <w:rPr>
          <w:rFonts w:hint="eastAsia" w:ascii="宋体" w:hAnsi="宋体" w:cs="宋体"/>
          <w:b/>
          <w:bCs/>
          <w:color w:val="auto"/>
          <w:sz w:val="24"/>
          <w:szCs w:val="24"/>
          <w:lang w:eastAsia="zh-CN"/>
        </w:rPr>
        <w:t>）：</w:t>
      </w:r>
    </w:p>
    <w:p>
      <w:pPr>
        <w:snapToGrid w:val="0"/>
        <w:spacing w:line="500" w:lineRule="exact"/>
        <w:ind w:firstLine="480" w:firstLineChars="200"/>
        <w:rPr>
          <w:rFonts w:hint="eastAsia" w:ascii="宋体" w:hAnsi="宋体" w:cs="宋体"/>
          <w:color w:val="auto"/>
          <w:sz w:val="24"/>
          <w:szCs w:val="24"/>
        </w:rPr>
      </w:pPr>
      <w:r>
        <w:rPr>
          <w:rFonts w:hint="eastAsia" w:ascii="宋体" w:hAnsi="宋体" w:cs="宋体"/>
          <w:color w:val="auto"/>
          <w:kern w:val="0"/>
          <w:sz w:val="24"/>
          <w:szCs w:val="24"/>
          <w:lang w:val="en-US" w:eastAsia="zh-CN"/>
        </w:rPr>
        <w:t>1、</w:t>
      </w:r>
      <w:r>
        <w:rPr>
          <w:rFonts w:hint="eastAsia" w:ascii="宋体" w:hAnsi="宋体" w:cs="宋体"/>
          <w:color w:val="auto"/>
          <w:kern w:val="0"/>
          <w:sz w:val="24"/>
          <w:szCs w:val="24"/>
        </w:rPr>
        <w:t>项目采用分期付款方式，</w:t>
      </w:r>
      <w:r>
        <w:rPr>
          <w:rFonts w:hint="eastAsia" w:ascii="宋体" w:hAnsi="宋体" w:cs="宋体"/>
          <w:bCs/>
          <w:color w:val="auto"/>
          <w:sz w:val="24"/>
          <w:szCs w:val="24"/>
        </w:rPr>
        <w:t>签订合同</w:t>
      </w:r>
      <w:r>
        <w:rPr>
          <w:rFonts w:hint="eastAsia" w:ascii="宋体" w:hAnsi="宋体" w:cs="宋体"/>
          <w:bCs/>
          <w:color w:val="auto"/>
          <w:sz w:val="24"/>
          <w:szCs w:val="24"/>
          <w:lang w:eastAsia="zh-CN"/>
        </w:rPr>
        <w:t>、</w:t>
      </w:r>
      <w:r>
        <w:rPr>
          <w:rFonts w:hint="eastAsia" w:ascii="宋体" w:hAnsi="宋体" w:cs="宋体"/>
          <w:bCs/>
          <w:color w:val="auto"/>
          <w:sz w:val="24"/>
          <w:szCs w:val="24"/>
          <w:lang w:val="en-US" w:eastAsia="zh-CN"/>
        </w:rPr>
        <w:t>收到增值税专用发票</w:t>
      </w:r>
      <w:r>
        <w:rPr>
          <w:rFonts w:hint="eastAsia" w:ascii="宋体" w:hAnsi="宋体" w:cs="宋体"/>
          <w:bCs/>
          <w:color w:val="auto"/>
          <w:sz w:val="24"/>
          <w:szCs w:val="24"/>
        </w:rPr>
        <w:t>且完成内部资金支付审批流程后的</w:t>
      </w:r>
      <w:r>
        <w:rPr>
          <w:rFonts w:hint="eastAsia" w:ascii="宋体" w:hAnsi="宋体" w:cs="宋体"/>
          <w:bCs/>
          <w:color w:val="auto"/>
          <w:sz w:val="24"/>
          <w:szCs w:val="24"/>
          <w:u w:val="single"/>
        </w:rPr>
        <w:t>5</w:t>
      </w:r>
      <w:r>
        <w:rPr>
          <w:rFonts w:hint="eastAsia" w:ascii="宋体" w:hAnsi="宋体" w:cs="宋体"/>
          <w:bCs/>
          <w:color w:val="auto"/>
          <w:sz w:val="24"/>
          <w:szCs w:val="24"/>
        </w:rPr>
        <w:t>个工作日内支付</w:t>
      </w:r>
      <w:r>
        <w:rPr>
          <w:rFonts w:hint="eastAsia" w:ascii="宋体" w:hAnsi="宋体" w:cs="宋体"/>
          <w:bCs/>
          <w:color w:val="auto"/>
          <w:sz w:val="24"/>
          <w:szCs w:val="24"/>
          <w:lang w:val="en-US" w:eastAsia="zh-CN"/>
        </w:rPr>
        <w:t>至</w:t>
      </w:r>
      <w:r>
        <w:rPr>
          <w:rFonts w:hint="eastAsia" w:ascii="宋体" w:hAnsi="宋体" w:cs="宋体"/>
          <w:bCs/>
          <w:color w:val="auto"/>
          <w:sz w:val="24"/>
          <w:szCs w:val="24"/>
        </w:rPr>
        <w:t>合同价的</w:t>
      </w:r>
      <w:r>
        <w:rPr>
          <w:rFonts w:hint="eastAsia" w:ascii="宋体" w:hAnsi="宋体" w:cs="宋体"/>
          <w:bCs/>
          <w:color w:val="auto"/>
          <w:sz w:val="24"/>
          <w:szCs w:val="24"/>
          <w:u w:val="single"/>
          <w:lang w:val="en-US" w:eastAsia="zh-CN"/>
        </w:rPr>
        <w:t>30</w:t>
      </w:r>
      <w:r>
        <w:rPr>
          <w:rFonts w:hint="eastAsia" w:ascii="宋体" w:hAnsi="宋体" w:cs="宋体"/>
          <w:bCs/>
          <w:color w:val="auto"/>
          <w:sz w:val="24"/>
          <w:szCs w:val="24"/>
        </w:rPr>
        <w:t>%</w:t>
      </w:r>
      <w:r>
        <w:rPr>
          <w:rFonts w:hint="eastAsia" w:ascii="宋体" w:hAnsi="宋体" w:cs="宋体"/>
          <w:color w:val="auto"/>
          <w:sz w:val="24"/>
          <w:szCs w:val="24"/>
        </w:rPr>
        <w:t>。</w:t>
      </w:r>
    </w:p>
    <w:p>
      <w:pPr>
        <w:snapToGrid w:val="0"/>
        <w:spacing w:line="500" w:lineRule="exact"/>
        <w:ind w:firstLine="480" w:firstLineChars="200"/>
        <w:rPr>
          <w:rFonts w:hint="eastAsia" w:ascii="宋体" w:hAnsi="宋体" w:cs="宋体"/>
          <w:color w:val="auto"/>
          <w:sz w:val="24"/>
          <w:szCs w:val="24"/>
        </w:rPr>
      </w:pPr>
      <w:r>
        <w:rPr>
          <w:rFonts w:hint="eastAsia" w:ascii="宋体" w:hAnsi="宋体" w:cs="宋体"/>
          <w:bCs/>
          <w:color w:val="auto"/>
          <w:sz w:val="24"/>
          <w:szCs w:val="24"/>
          <w:lang w:val="en-US" w:eastAsia="zh-CN"/>
        </w:rPr>
        <w:t>2、</w:t>
      </w:r>
      <w:r>
        <w:rPr>
          <w:rFonts w:hint="eastAsia" w:ascii="宋体" w:hAnsi="宋体" w:cs="宋体"/>
          <w:bCs/>
          <w:color w:val="auto"/>
          <w:sz w:val="24"/>
          <w:szCs w:val="24"/>
        </w:rPr>
        <w:t>交车至</w:t>
      </w:r>
      <w:r>
        <w:rPr>
          <w:rFonts w:hint="eastAsia" w:ascii="宋体" w:hAnsi="宋体" w:cs="宋体"/>
          <w:bCs/>
          <w:color w:val="auto"/>
          <w:sz w:val="24"/>
          <w:szCs w:val="24"/>
          <w:lang w:val="en-US" w:eastAsia="zh-CN"/>
        </w:rPr>
        <w:t>采购人</w:t>
      </w:r>
      <w:r>
        <w:rPr>
          <w:rFonts w:hint="eastAsia" w:ascii="宋体" w:hAnsi="宋体" w:cs="宋体"/>
          <w:bCs/>
          <w:color w:val="auto"/>
          <w:sz w:val="24"/>
          <w:szCs w:val="24"/>
        </w:rPr>
        <w:t>指定地点并验收合格</w:t>
      </w:r>
      <w:r>
        <w:rPr>
          <w:rFonts w:hint="eastAsia" w:ascii="宋体" w:hAnsi="宋体" w:cs="宋体"/>
          <w:bCs/>
          <w:color w:val="auto"/>
          <w:sz w:val="24"/>
          <w:szCs w:val="24"/>
          <w:lang w:eastAsia="zh-CN"/>
        </w:rPr>
        <w:t>、</w:t>
      </w:r>
      <w:r>
        <w:rPr>
          <w:rFonts w:hint="eastAsia" w:ascii="宋体" w:hAnsi="宋体" w:cs="宋体"/>
          <w:bCs/>
          <w:color w:val="auto"/>
          <w:sz w:val="24"/>
          <w:szCs w:val="24"/>
          <w:lang w:val="en-US" w:eastAsia="zh-CN"/>
        </w:rPr>
        <w:t>收到增值税专用</w:t>
      </w:r>
      <w:r>
        <w:rPr>
          <w:rFonts w:hint="eastAsia" w:ascii="宋体" w:hAnsi="宋体" w:cs="宋体"/>
          <w:bCs/>
          <w:color w:val="auto"/>
          <w:sz w:val="24"/>
          <w:szCs w:val="24"/>
        </w:rPr>
        <w:t>且完成内部资金支付审批流程后的</w:t>
      </w:r>
      <w:r>
        <w:rPr>
          <w:rFonts w:hint="eastAsia" w:ascii="宋体" w:hAnsi="宋体" w:cs="宋体"/>
          <w:bCs/>
          <w:color w:val="auto"/>
          <w:sz w:val="24"/>
          <w:szCs w:val="24"/>
          <w:u w:val="single"/>
        </w:rPr>
        <w:t>5</w:t>
      </w:r>
      <w:r>
        <w:rPr>
          <w:rFonts w:hint="eastAsia" w:ascii="宋体" w:hAnsi="宋体" w:cs="宋体"/>
          <w:bCs/>
          <w:color w:val="auto"/>
          <w:sz w:val="24"/>
          <w:szCs w:val="24"/>
        </w:rPr>
        <w:t>个工作日内支付</w:t>
      </w:r>
      <w:r>
        <w:rPr>
          <w:rFonts w:hint="eastAsia" w:ascii="宋体" w:hAnsi="宋体" w:cs="宋体"/>
          <w:bCs/>
          <w:color w:val="auto"/>
          <w:sz w:val="24"/>
          <w:szCs w:val="24"/>
          <w:lang w:val="en-US" w:eastAsia="zh-CN"/>
        </w:rPr>
        <w:t>至</w:t>
      </w:r>
      <w:r>
        <w:rPr>
          <w:rFonts w:hint="eastAsia" w:ascii="宋体" w:hAnsi="宋体" w:cs="宋体"/>
          <w:bCs/>
          <w:color w:val="auto"/>
          <w:sz w:val="24"/>
          <w:szCs w:val="24"/>
        </w:rPr>
        <w:t>合同价的</w:t>
      </w:r>
      <w:r>
        <w:rPr>
          <w:rFonts w:hint="eastAsia" w:ascii="宋体" w:hAnsi="宋体" w:cs="宋体"/>
          <w:bCs/>
          <w:color w:val="auto"/>
          <w:sz w:val="24"/>
          <w:szCs w:val="24"/>
          <w:u w:val="single"/>
          <w:lang w:val="en-US" w:eastAsia="zh-CN"/>
        </w:rPr>
        <w:t>98</w:t>
      </w:r>
      <w:r>
        <w:rPr>
          <w:rFonts w:hint="eastAsia" w:ascii="宋体" w:hAnsi="宋体" w:cs="宋体"/>
          <w:bCs/>
          <w:color w:val="auto"/>
          <w:sz w:val="24"/>
          <w:szCs w:val="24"/>
        </w:rPr>
        <w:t>%</w:t>
      </w:r>
      <w:r>
        <w:rPr>
          <w:rFonts w:hint="eastAsia" w:ascii="宋体" w:hAnsi="宋体" w:cs="宋体"/>
          <w:color w:val="auto"/>
          <w:sz w:val="24"/>
          <w:szCs w:val="24"/>
        </w:rPr>
        <w:t>。</w:t>
      </w:r>
    </w:p>
    <w:p>
      <w:pPr>
        <w:snapToGrid w:val="0"/>
        <w:spacing w:line="500" w:lineRule="exact"/>
        <w:ind w:firstLine="480" w:firstLineChars="200"/>
      </w:pPr>
      <w:r>
        <w:rPr>
          <w:rFonts w:hint="eastAsia" w:ascii="宋体" w:hAnsi="宋体" w:cs="宋体"/>
          <w:bCs/>
          <w:color w:val="auto"/>
          <w:sz w:val="24"/>
          <w:szCs w:val="24"/>
          <w:lang w:val="en-US" w:eastAsia="zh-CN"/>
        </w:rPr>
        <w:t>3、质保期</w:t>
      </w:r>
      <w:r>
        <w:rPr>
          <w:rFonts w:hint="eastAsia" w:ascii="宋体" w:hAnsi="宋体" w:cs="宋体"/>
          <w:bCs/>
          <w:color w:val="auto"/>
          <w:sz w:val="24"/>
          <w:szCs w:val="24"/>
        </w:rPr>
        <w:t>后且无质量、服务纠纷的，在乙方向甲方提供甲方认可的响应招标文件质保要求的保函且完成内部资金支付审批流程后5个工作日内，甲方向乙方支付合同价的</w:t>
      </w:r>
      <w:r>
        <w:rPr>
          <w:rFonts w:hint="eastAsia" w:ascii="宋体" w:hAnsi="宋体" w:cs="宋体"/>
          <w:bCs/>
          <w:color w:val="auto"/>
          <w:sz w:val="24"/>
          <w:szCs w:val="24"/>
          <w:lang w:val="en-US" w:eastAsia="zh-CN"/>
        </w:rPr>
        <w:t>2</w:t>
      </w:r>
      <w:r>
        <w:rPr>
          <w:rFonts w:hint="eastAsia" w:ascii="宋体" w:hAnsi="宋体" w:cs="宋体"/>
          <w:bCs/>
          <w:color w:val="auto"/>
          <w:sz w:val="24"/>
          <w:szCs w:val="24"/>
        </w:rPr>
        <w:t>%</w:t>
      </w:r>
      <w:r>
        <w:rPr>
          <w:rFonts w:hint="eastAsia" w:ascii="宋体" w:hAnsi="宋体" w:cs="宋体"/>
          <w:color w:val="auto"/>
          <w:sz w:val="24"/>
          <w:szCs w:val="24"/>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0000" w:usb1="00000000" w:usb2="00000000" w:usb3="00000000" w:csb0="00000000"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Verdana">
    <w:panose1 w:val="020B0604030504040204"/>
    <w:charset w:val="00"/>
    <w:family w:val="swiss"/>
    <w:pitch w:val="default"/>
    <w:sig w:usb0="00000000" w:usb1="00000000" w:usb2="00000000" w:usb3="00000000" w:csb0="00000000" w:csb1="00000000"/>
  </w:font>
  <w:font w:name="汉仪中黑KW">
    <w:panose1 w:val="00020600040101010101"/>
    <w:charset w:val="86"/>
    <w:family w:val="auto"/>
    <w:pitch w:val="default"/>
    <w:sig w:usb0="00000000" w:usb1="00000000" w:usb2="00000000" w:usb3="00000000" w:csb0="00160000" w:csb1="00000000"/>
  </w:font>
  <w:font w:name="方正小标宋简体">
    <w:altName w:val="汉仪书宋二KW"/>
    <w:panose1 w:val="03000509000000000000"/>
    <w:charset w:val="86"/>
    <w:family w:val="modern"/>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0C62C7"/>
    <w:multiLevelType w:val="singleLevel"/>
    <w:tmpl w:val="280C62C7"/>
    <w:lvl w:ilvl="0" w:tentative="0">
      <w:start w:val="1"/>
      <w:numFmt w:val="decimal"/>
      <w:lvlText w:val="%1"/>
      <w:lvlJc w:val="left"/>
      <w:pPr>
        <w:tabs>
          <w:tab w:val="left" w:pos="420"/>
        </w:tabs>
        <w:ind w:left="425" w:hanging="425"/>
      </w:pPr>
      <w:rPr>
        <w:rFonts w:hint="default"/>
      </w:rPr>
    </w:lvl>
  </w:abstractNum>
  <w:abstractNum w:abstractNumId="1">
    <w:nsid w:val="31A453FA"/>
    <w:multiLevelType w:val="singleLevel"/>
    <w:tmpl w:val="31A453FA"/>
    <w:lvl w:ilvl="0" w:tentative="0">
      <w:start w:val="1"/>
      <w:numFmt w:val="chineseCounting"/>
      <w:suff w:val="nothing"/>
      <w:lvlText w:val="%1、"/>
      <w:lvlJc w:val="left"/>
      <w:rPr>
        <w:rFonts w:hint="eastAsia"/>
      </w:rPr>
    </w:lvl>
  </w:abstractNum>
  <w:abstractNum w:abstractNumId="2">
    <w:nsid w:val="3457E11D"/>
    <w:multiLevelType w:val="singleLevel"/>
    <w:tmpl w:val="3457E11D"/>
    <w:lvl w:ilvl="0" w:tentative="0">
      <w:start w:val="2"/>
      <w:numFmt w:val="decimal"/>
      <w:suff w:val="nothing"/>
      <w:lvlText w:val="%1、"/>
      <w:lvlJc w:val="left"/>
    </w:lvl>
  </w:abstractNum>
  <w:abstractNum w:abstractNumId="3">
    <w:nsid w:val="4E533B5D"/>
    <w:multiLevelType w:val="singleLevel"/>
    <w:tmpl w:val="4E533B5D"/>
    <w:lvl w:ilvl="0" w:tentative="0">
      <w:start w:val="1"/>
      <w:numFmt w:val="decimal"/>
      <w:suff w:val="nothing"/>
      <w:lvlText w:val="%1、"/>
      <w:lvlJc w:val="left"/>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kyNTBiYzZiMjAwMzBhMzM2NGY3ZTAyMjUyZDEyNWEifQ=="/>
  </w:docVars>
  <w:rsids>
    <w:rsidRoot w:val="67C67A82"/>
    <w:rsid w:val="67C67A82"/>
    <w:rsid w:val="F6FF72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8"/>
      <w:lang w:val="en-US" w:eastAsia="zh-CN" w:bidi="ar-SA"/>
    </w:rPr>
  </w:style>
  <w:style w:type="paragraph" w:styleId="3">
    <w:name w:val="heading 1"/>
    <w:basedOn w:val="1"/>
    <w:next w:val="1"/>
    <w:qFormat/>
    <w:uiPriority w:val="0"/>
    <w:pPr>
      <w:keepNext/>
      <w:keepLines/>
      <w:spacing w:before="340" w:after="330" w:line="576" w:lineRule="auto"/>
      <w:outlineLvl w:val="0"/>
    </w:pPr>
    <w:rPr>
      <w:rFonts w:ascii="Verdana" w:hAnsi="Verdana"/>
      <w:b/>
      <w:kern w:val="44"/>
      <w:sz w:val="44"/>
    </w:rPr>
  </w:style>
  <w:style w:type="paragraph" w:styleId="4">
    <w:name w:val="heading 2"/>
    <w:basedOn w:val="1"/>
    <w:next w:val="1"/>
    <w:qFormat/>
    <w:uiPriority w:val="0"/>
    <w:pPr>
      <w:keepNext/>
      <w:keepLines/>
      <w:spacing w:before="260" w:after="260" w:line="413" w:lineRule="auto"/>
      <w:outlineLvl w:val="1"/>
    </w:pPr>
    <w:rPr>
      <w:rFonts w:ascii="Arial" w:hAnsi="Arial" w:eastAsia="黑体"/>
      <w:b/>
      <w:sz w:val="32"/>
    </w:rPr>
  </w:style>
  <w:style w:type="character" w:default="1" w:styleId="8">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styleId="2">
    <w:name w:val="List 2"/>
    <w:basedOn w:val="1"/>
    <w:uiPriority w:val="0"/>
    <w:pPr>
      <w:ind w:leftChars="200" w:hanging="200" w:hangingChars="200"/>
    </w:pPr>
  </w:style>
  <w:style w:type="paragraph" w:styleId="5">
    <w:name w:val="Plain Text"/>
    <w:basedOn w:val="1"/>
    <w:next w:val="1"/>
    <w:qFormat/>
    <w:uiPriority w:val="99"/>
    <w:pPr>
      <w:spacing w:beforeLines="50" w:afterLines="50" w:line="400" w:lineRule="atLeast"/>
    </w:pPr>
    <w:rPr>
      <w:rFonts w:ascii="宋体" w:hAnsi="Courier New"/>
      <w:sz w:val="24"/>
    </w:rPr>
  </w:style>
  <w:style w:type="paragraph" w:styleId="6">
    <w:name w:val="Title"/>
    <w:basedOn w:val="1"/>
    <w:next w:val="1"/>
    <w:qFormat/>
    <w:uiPriority w:val="0"/>
    <w:pPr>
      <w:spacing w:before="240" w:after="60"/>
      <w:jc w:val="center"/>
      <w:outlineLvl w:val="0"/>
    </w:pPr>
    <w:rPr>
      <w:rFonts w:ascii="Arial" w:hAnsi="Arial"/>
      <w:b/>
      <w:sz w:val="32"/>
    </w:rPr>
  </w:style>
  <w:style w:type="paragraph" w:customStyle="1" w:styleId="9">
    <w:name w:val="Default"/>
    <w:next w:val="10"/>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10">
    <w:name w:val="明显引用1"/>
    <w:basedOn w:val="1"/>
    <w:next w:val="1"/>
    <w:qFormat/>
    <w:uiPriority w:val="30"/>
    <w:pPr>
      <w:pBdr>
        <w:top w:val="single" w:color="4F81BD" w:sz="4" w:space="10"/>
        <w:bottom w:val="single" w:color="4F81BD" w:sz="4" w:space="10"/>
      </w:pBdr>
      <w:spacing w:before="360" w:after="360"/>
      <w:ind w:left="864" w:right="864"/>
      <w:jc w:val="center"/>
    </w:pPr>
    <w:rPr>
      <w:i/>
      <w:iCs/>
      <w:color w:val="4F81BD"/>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Office_4.6.1.7467_F1E327BC-269C-435d-A152-05C5408002CA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2022-10-14T17:49:00Z</dcterms:created>
  <dc:creator>vicy_YY</dc:creator>
  <cp:lastModifiedBy>张丸子</cp:lastModifiedBy>
  <dcterms:modified xsi:type="dcterms:W3CDTF">2022-10-14T21:36:11Z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2052-4.6.1.7467</vt:lpwstr>
  </property>
  <property fmtid="{D5CDD505-2E9C-101B-9397-08002B2CF9AE}" pid="3" name="ICV">
    <vt:lpwstr>D38C3609B2412BB9CB6549639B880302</vt:lpwstr>
  </property>
</Properties>
</file>