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20" w:after="120" w:line="240" w:lineRule="auto"/>
        <w:jc w:val="center"/>
        <w:outlineLvl w:val="0"/>
        <w:rPr>
          <w:rFonts w:hint="eastAsia" w:hAnsi="宋体"/>
          <w:b/>
          <w:color w:val="000000"/>
          <w:sz w:val="40"/>
          <w:szCs w:val="22"/>
          <w:highlight w:val="none"/>
        </w:rPr>
      </w:pPr>
      <w:r>
        <w:rPr>
          <w:rFonts w:hint="eastAsia" w:hAnsi="宋体"/>
          <w:b/>
          <w:color w:val="000000"/>
          <w:sz w:val="40"/>
          <w:szCs w:val="22"/>
          <w:highlight w:val="none"/>
        </w:rPr>
        <w:t>第三章</w:t>
      </w:r>
      <w:r>
        <w:rPr>
          <w:rFonts w:hAnsi="宋体"/>
          <w:b/>
          <w:color w:val="000000"/>
          <w:sz w:val="40"/>
          <w:szCs w:val="22"/>
          <w:highlight w:val="none"/>
        </w:rPr>
        <w:t xml:space="preserve">  </w:t>
      </w:r>
      <w:r>
        <w:rPr>
          <w:rFonts w:hint="eastAsia" w:hAnsi="宋体"/>
          <w:b/>
          <w:color w:val="000000"/>
          <w:sz w:val="40"/>
          <w:szCs w:val="22"/>
          <w:highlight w:val="none"/>
        </w:rPr>
        <w:t>采购需求</w:t>
      </w:r>
    </w:p>
    <w:p>
      <w:pPr>
        <w:pStyle w:val="2"/>
        <w:numPr>
          <w:ilvl w:val="0"/>
          <w:numId w:val="1"/>
        </w:numPr>
        <w:spacing w:before="0" w:after="0" w:line="360" w:lineRule="auto"/>
        <w:rPr>
          <w:rFonts w:hint="eastAsia" w:ascii="宋体" w:hAnsi="宋体" w:cs="宋体"/>
          <w:color w:val="000000"/>
          <w:sz w:val="24"/>
          <w:szCs w:val="24"/>
        </w:rPr>
      </w:pPr>
      <w:r>
        <w:rPr>
          <w:rFonts w:hint="eastAsia" w:ascii="宋体" w:hAnsi="宋体" w:cs="宋体"/>
          <w:color w:val="000000"/>
          <w:sz w:val="24"/>
          <w:szCs w:val="24"/>
        </w:rPr>
        <w:t>采购内容</w:t>
      </w: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项目建设需求</w:t>
      </w:r>
    </w:p>
    <w:tbl>
      <w:tblPr>
        <w:tblStyle w:val="5"/>
        <w:tblW w:w="5545" w:type="pct"/>
        <w:tblInd w:w="-177"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autofit"/>
        <w:tblCellMar>
          <w:top w:w="0" w:type="dxa"/>
          <w:left w:w="10" w:type="dxa"/>
          <w:bottom w:w="0" w:type="dxa"/>
          <w:right w:w="10" w:type="dxa"/>
        </w:tblCellMar>
      </w:tblPr>
      <w:tblGrid>
        <w:gridCol w:w="885"/>
        <w:gridCol w:w="1494"/>
        <w:gridCol w:w="2129"/>
        <w:gridCol w:w="3517"/>
        <w:gridCol w:w="136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654" w:hRule="atLeast"/>
          <w:tblHeader/>
        </w:trPr>
        <w:tc>
          <w:tcPr>
            <w:tcW w:w="471"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b/>
                <w:bCs/>
                <w:color w:val="000000"/>
                <w:sz w:val="24"/>
                <w:szCs w:val="24"/>
              </w:rPr>
            </w:pPr>
            <w:r>
              <w:rPr>
                <w:rFonts w:hint="eastAsia" w:ascii="宋体" w:hAnsi="宋体" w:cs="宋体"/>
                <w:b/>
                <w:bCs/>
                <w:color w:val="000000"/>
                <w:kern w:val="0"/>
                <w:sz w:val="24"/>
                <w:szCs w:val="24"/>
                <w:lang w:val="zh-TW" w:eastAsia="zh-TW"/>
              </w:rPr>
              <w:t>序号</w:t>
            </w:r>
          </w:p>
        </w:tc>
        <w:tc>
          <w:tcPr>
            <w:tcW w:w="795"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b/>
                <w:bCs/>
                <w:color w:val="000000"/>
                <w:sz w:val="24"/>
                <w:szCs w:val="24"/>
              </w:rPr>
            </w:pPr>
            <w:r>
              <w:rPr>
                <w:rFonts w:hint="eastAsia" w:ascii="宋体" w:hAnsi="宋体" w:cs="宋体"/>
                <w:b/>
                <w:bCs/>
                <w:color w:val="000000"/>
                <w:kern w:val="0"/>
                <w:sz w:val="24"/>
                <w:szCs w:val="24"/>
                <w:lang w:val="zh-TW" w:eastAsia="zh-TW"/>
              </w:rPr>
              <w:t>类别</w:t>
            </w:r>
          </w:p>
        </w:tc>
        <w:tc>
          <w:tcPr>
            <w:tcW w:w="1133"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b/>
                <w:bCs/>
                <w:color w:val="000000"/>
                <w:kern w:val="0"/>
                <w:sz w:val="24"/>
                <w:szCs w:val="24"/>
                <w:lang w:val="zh-TW" w:eastAsia="zh-TW"/>
              </w:rPr>
            </w:pPr>
            <w:r>
              <w:rPr>
                <w:rFonts w:hint="eastAsia" w:ascii="宋体" w:hAnsi="宋体" w:cs="宋体"/>
                <w:b/>
                <w:bCs/>
                <w:color w:val="000000"/>
                <w:kern w:val="0"/>
                <w:sz w:val="24"/>
                <w:szCs w:val="24"/>
                <w:lang w:val="zh-TW" w:eastAsia="zh-TW"/>
              </w:rPr>
              <w:t>采购项目</w:t>
            </w:r>
          </w:p>
        </w:tc>
        <w:tc>
          <w:tcPr>
            <w:tcW w:w="187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360" w:lineRule="auto"/>
              <w:jc w:val="center"/>
              <w:rPr>
                <w:rFonts w:hint="eastAsia" w:ascii="宋体" w:hAnsi="宋体" w:cs="宋体"/>
                <w:b/>
                <w:bCs/>
                <w:color w:val="000000"/>
                <w:kern w:val="0"/>
                <w:sz w:val="24"/>
                <w:szCs w:val="24"/>
                <w:lang w:val="zh-TW" w:eastAsia="zh-TW"/>
              </w:rPr>
            </w:pPr>
            <w:r>
              <w:rPr>
                <w:rFonts w:hint="eastAsia" w:ascii="宋体" w:hAnsi="宋体" w:cs="宋体"/>
                <w:b/>
                <w:bCs/>
                <w:color w:val="000000"/>
                <w:kern w:val="0"/>
                <w:sz w:val="24"/>
                <w:szCs w:val="24"/>
                <w:lang w:val="zh-TW" w:eastAsia="zh-TW"/>
              </w:rPr>
              <w:t>简述</w:t>
            </w:r>
          </w:p>
        </w:tc>
        <w:tc>
          <w:tcPr>
            <w:tcW w:w="726"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b/>
                <w:bCs/>
                <w:color w:val="000000"/>
                <w:sz w:val="24"/>
                <w:szCs w:val="24"/>
              </w:rPr>
            </w:pPr>
            <w:r>
              <w:rPr>
                <w:rFonts w:hint="eastAsia" w:ascii="宋体" w:hAnsi="宋体" w:cs="宋体"/>
                <w:b/>
                <w:bCs/>
                <w:color w:val="000000"/>
                <w:kern w:val="0"/>
                <w:sz w:val="24"/>
                <w:szCs w:val="24"/>
                <w:lang w:val="zh-TW" w:eastAsia="zh-TW"/>
              </w:rPr>
              <w:t>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1</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lang w:val="zh-TW" w:eastAsia="zh-TW"/>
              </w:rPr>
              <w:t>应用软件</w:t>
            </w:r>
          </w:p>
        </w:tc>
        <w:tc>
          <w:tcPr>
            <w:tcW w:w="1133"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pStyle w:val="7"/>
              <w:jc w:val="center"/>
              <w:rPr>
                <w:rFonts w:ascii="宋体" w:hAnsi="宋体" w:cs="宋体"/>
                <w:color w:val="000000"/>
                <w:kern w:val="0"/>
              </w:rPr>
            </w:pPr>
            <w:r>
              <w:rPr>
                <w:rFonts w:ascii="宋体" w:hAnsi="宋体" w:cs="宋体"/>
                <w:color w:val="000000"/>
                <w:kern w:val="0"/>
              </w:rPr>
              <w:t>公交车载收费机卡（码）对接改造及车载机程序开发</w:t>
            </w:r>
          </w:p>
        </w:tc>
        <w:tc>
          <w:tcPr>
            <w:tcW w:w="187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对全市公交车载收费机系统进行卡、码升级改造，适配第三代社保卡和电子社保</w:t>
            </w:r>
            <w:r>
              <w:rPr>
                <w:rFonts w:hint="eastAsia" w:ascii="宋体" w:hAnsi="宋体" w:cs="宋体"/>
                <w:color w:val="000000"/>
                <w:kern w:val="0"/>
                <w:sz w:val="24"/>
                <w:szCs w:val="24"/>
                <w:lang w:val="en-US" w:eastAsia="zh-CN"/>
              </w:rPr>
              <w:t>卡</w:t>
            </w:r>
            <w:r>
              <w:rPr>
                <w:rFonts w:hint="eastAsia" w:ascii="宋体" w:hAnsi="宋体" w:cs="宋体"/>
                <w:color w:val="000000"/>
                <w:kern w:val="0"/>
                <w:sz w:val="24"/>
                <w:szCs w:val="24"/>
              </w:rPr>
              <w:t>能在公交车载收费机上使用。</w:t>
            </w:r>
          </w:p>
        </w:tc>
        <w:tc>
          <w:tcPr>
            <w:tcW w:w="726"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zh-TW" w:eastAsia="zh-TW"/>
              </w:rPr>
              <w:t>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2</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rPr>
                <w:rFonts w:hint="eastAsia" w:ascii="宋体" w:hAnsi="宋体" w:cs="宋体"/>
                <w:color w:val="000000"/>
                <w:sz w:val="24"/>
                <w:szCs w:val="24"/>
              </w:rPr>
            </w:pPr>
          </w:p>
        </w:tc>
        <w:tc>
          <w:tcPr>
            <w:tcW w:w="1133"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pStyle w:val="7"/>
              <w:jc w:val="center"/>
              <w:rPr>
                <w:rFonts w:ascii="宋体" w:hAnsi="宋体" w:cs="宋体"/>
                <w:color w:val="000000"/>
                <w:kern w:val="0"/>
              </w:rPr>
            </w:pPr>
            <w:r>
              <w:rPr>
                <w:rFonts w:ascii="宋体" w:hAnsi="宋体" w:cs="宋体"/>
                <w:color w:val="000000"/>
                <w:kern w:val="0"/>
              </w:rPr>
              <w:t>公交一卡通系统一卡通和电子社保</w:t>
            </w:r>
            <w:r>
              <w:rPr>
                <w:rFonts w:hint="eastAsia" w:ascii="宋体" w:hAnsi="宋体" w:cs="宋体"/>
                <w:color w:val="000000"/>
                <w:kern w:val="0"/>
                <w:lang w:val="en-US" w:eastAsia="zh-CN"/>
              </w:rPr>
              <w:t>卡</w:t>
            </w:r>
            <w:r>
              <w:rPr>
                <w:rFonts w:ascii="宋体" w:hAnsi="宋体" w:cs="宋体"/>
                <w:color w:val="000000"/>
                <w:kern w:val="0"/>
              </w:rPr>
              <w:t>对接开发</w:t>
            </w:r>
          </w:p>
        </w:tc>
        <w:tc>
          <w:tcPr>
            <w:tcW w:w="187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通过改造公交一卡通系统，使第三代社会保障卡和</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能在公交一卡通系统中使用，主要包括乘车接口改造、信息交易改造、乘车记录改造、报表改造。</w:t>
            </w:r>
          </w:p>
        </w:tc>
        <w:tc>
          <w:tcPr>
            <w:tcW w:w="726"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zh-TW" w:eastAsia="zh-TW"/>
              </w:rPr>
              <w:t>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3</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rPr>
                <w:rFonts w:hint="eastAsia" w:ascii="宋体" w:hAnsi="宋体" w:cs="宋体"/>
                <w:color w:val="000000"/>
                <w:sz w:val="24"/>
                <w:szCs w:val="24"/>
              </w:rPr>
            </w:pPr>
          </w:p>
        </w:tc>
        <w:tc>
          <w:tcPr>
            <w:tcW w:w="1133"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pStyle w:val="7"/>
              <w:jc w:val="center"/>
              <w:rPr>
                <w:rFonts w:ascii="宋体" w:hAnsi="宋体" w:cs="宋体"/>
                <w:color w:val="000000"/>
                <w:kern w:val="0"/>
              </w:rPr>
            </w:pPr>
            <w:r>
              <w:rPr>
                <w:rFonts w:ascii="宋体" w:hAnsi="宋体" w:cs="宋体"/>
                <w:color w:val="000000"/>
                <w:kern w:val="0"/>
              </w:rPr>
              <w:t>公交一卡通数据交换结算系统</w:t>
            </w:r>
          </w:p>
        </w:tc>
        <w:tc>
          <w:tcPr>
            <w:tcW w:w="187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公交一卡通数据交换结算系统是一套集合了机构、人员、票价等地区基础数据配置和管理、接受资金清算数据、资金结算审核等功能的业务处理系统，系统对在本市各区县自身消费数据和跨区县数据进行先验后分再清再算处理，再对接收的不同公交运营机构的消费数据进行独立清算处理。</w:t>
            </w:r>
          </w:p>
        </w:tc>
        <w:tc>
          <w:tcPr>
            <w:tcW w:w="726"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zh-TW" w:eastAsia="zh-TW"/>
              </w:rPr>
              <w:t>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4</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rPr>
                <w:rFonts w:hint="eastAsia" w:ascii="宋体" w:hAnsi="宋体" w:cs="宋体"/>
                <w:color w:val="000000"/>
                <w:sz w:val="24"/>
                <w:szCs w:val="24"/>
              </w:rPr>
            </w:pPr>
          </w:p>
        </w:tc>
        <w:tc>
          <w:tcPr>
            <w:tcW w:w="1133"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top"/>
          </w:tcPr>
          <w:p>
            <w:pPr>
              <w:pStyle w:val="7"/>
              <w:rPr>
                <w:rFonts w:ascii="宋体" w:hAnsi="宋体" w:cs="宋体"/>
                <w:color w:val="000000"/>
                <w:kern w:val="0"/>
              </w:rPr>
            </w:pPr>
            <w:r>
              <w:rPr>
                <w:rFonts w:ascii="宋体" w:hAnsi="宋体" w:cs="宋体"/>
                <w:color w:val="000000"/>
                <w:kern w:val="0"/>
              </w:rPr>
              <w:t>居民一卡通平台和公交一卡通系统间业务打通对接开发</w:t>
            </w:r>
          </w:p>
        </w:tc>
        <w:tc>
          <w:tcPr>
            <w:tcW w:w="187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将公交一卡通系统与市居民服务一卡通系统进行无缝对接，实现两系统间完全打通，为居民服务一卡通平台进行交通部密钥授权，实现在居民服务一卡通平台中实时办理第三代社会保障卡所涉的所有公交业务，实现第三代社会保障卡交通应用在居民服务一卡通平台中的实时数据同步和数据查询。</w:t>
            </w:r>
          </w:p>
        </w:tc>
        <w:tc>
          <w:tcPr>
            <w:tcW w:w="726"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zh-TW" w:eastAsia="zh-TW"/>
              </w:rPr>
              <w:t>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7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sz w:val="24"/>
                <w:szCs w:val="24"/>
              </w:rPr>
            </w:pPr>
            <w:r>
              <w:rPr>
                <w:rFonts w:hint="eastAsia" w:ascii="宋体" w:hAnsi="宋体" w:cs="宋体"/>
                <w:color w:val="000000"/>
                <w:sz w:val="24"/>
                <w:szCs w:val="24"/>
              </w:rPr>
              <w:t>5</w:t>
            </w:r>
          </w:p>
        </w:tc>
        <w:tc>
          <w:tcPr>
            <w:tcW w:w="795" w:type="pct"/>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kern w:val="0"/>
                <w:sz w:val="24"/>
                <w:szCs w:val="24"/>
                <w:lang w:val="zh-TW"/>
              </w:rPr>
            </w:pPr>
            <w:r>
              <w:rPr>
                <w:rFonts w:hint="eastAsia" w:ascii="宋体" w:hAnsi="宋体" w:cs="宋体"/>
                <w:color w:val="000000"/>
                <w:kern w:val="0"/>
                <w:sz w:val="24"/>
                <w:szCs w:val="24"/>
                <w:lang w:val="zh-TW" w:eastAsia="zh-TW"/>
              </w:rPr>
              <w:t>硬件</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kern w:val="0"/>
                <w:sz w:val="24"/>
                <w:szCs w:val="24"/>
                <w:lang w:val="zh-TW"/>
              </w:rPr>
            </w:pPr>
            <w:r>
              <w:rPr>
                <w:rFonts w:hint="eastAsia" w:ascii="宋体" w:hAnsi="宋体" w:cs="宋体"/>
                <w:color w:val="000000"/>
                <w:kern w:val="0"/>
                <w:sz w:val="24"/>
                <w:szCs w:val="24"/>
                <w:lang w:val="zh-TW" w:eastAsia="zh-TW"/>
              </w:rPr>
              <w:t>区县互通公交车终端设备</w:t>
            </w:r>
          </w:p>
        </w:tc>
        <w:tc>
          <w:tcPr>
            <w:tcW w:w="187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给江山、龙游、常山、开化公交部署车载收费机，实现第三代社会保障卡区县互通场景应用。</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405台</w:t>
            </w:r>
          </w:p>
        </w:tc>
      </w:tr>
    </w:tbl>
    <w:p>
      <w:pPr>
        <w:spacing w:line="360" w:lineRule="auto"/>
        <w:rPr>
          <w:rFonts w:hint="eastAsia" w:ascii="宋体" w:hAnsi="宋体" w:cs="宋体"/>
          <w:color w:val="000000"/>
          <w:sz w:val="24"/>
          <w:szCs w:val="24"/>
        </w:rPr>
      </w:pP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应用软件采购需求</w:t>
      </w:r>
    </w:p>
    <w:tbl>
      <w:tblPr>
        <w:tblStyle w:val="5"/>
        <w:tblW w:w="9392" w:type="dxa"/>
        <w:tblInd w:w="-158" w:type="dxa"/>
        <w:tblLayout w:type="autofit"/>
        <w:tblCellMar>
          <w:top w:w="15" w:type="dxa"/>
          <w:left w:w="108" w:type="dxa"/>
          <w:bottom w:w="0" w:type="dxa"/>
          <w:right w:w="108" w:type="dxa"/>
        </w:tblCellMar>
      </w:tblPr>
      <w:tblGrid>
        <w:gridCol w:w="1260"/>
        <w:gridCol w:w="1225"/>
        <w:gridCol w:w="1353"/>
        <w:gridCol w:w="5554"/>
      </w:tblGrid>
      <w:tr>
        <w:tblPrEx>
          <w:tblCellMar>
            <w:top w:w="15" w:type="dxa"/>
            <w:left w:w="108" w:type="dxa"/>
            <w:bottom w:w="0" w:type="dxa"/>
            <w:right w:w="108" w:type="dxa"/>
          </w:tblCellMar>
        </w:tblPrEx>
        <w:trPr>
          <w:trHeight w:val="480" w:hRule="atLeast"/>
          <w:tblHeader/>
        </w:trPr>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采购内容</w:t>
            </w:r>
          </w:p>
        </w:tc>
        <w:tc>
          <w:tcPr>
            <w:tcW w:w="122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二级模块</w:t>
            </w:r>
          </w:p>
        </w:tc>
        <w:tc>
          <w:tcPr>
            <w:tcW w:w="1353"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三级模块</w:t>
            </w:r>
          </w:p>
        </w:tc>
        <w:tc>
          <w:tcPr>
            <w:tcW w:w="555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功能描述</w:t>
            </w:r>
          </w:p>
        </w:tc>
      </w:tr>
      <w:tr>
        <w:tblPrEx>
          <w:tblCellMar>
            <w:top w:w="15" w:type="dxa"/>
            <w:left w:w="108" w:type="dxa"/>
            <w:bottom w:w="0" w:type="dxa"/>
            <w:right w:w="108" w:type="dxa"/>
          </w:tblCellMar>
        </w:tblPrEx>
        <w:trPr>
          <w:trHeight w:val="468" w:hRule="atLeast"/>
        </w:trPr>
        <w:tc>
          <w:tcPr>
            <w:tcW w:w="126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衢州市社会保障卡居民服务“一卡通”公交配套工程</w:t>
            </w:r>
          </w:p>
        </w:tc>
        <w:tc>
          <w:tcPr>
            <w:tcW w:w="1225"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公交车载收费机卡（码）对接改造及车载机程序开发</w:t>
            </w: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卡对接升级改造</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通过与社会保障卡管理系统实现对接，对第三代社保卡进行交通部秘钥授权，对一卡通信息的读取和识别。包括车载POS机主界面增加社保卡信息，社保卡信息读取，车载POS机增加增加社保卡心跳包对接，车载POS机版本信息改造，车载POS机新增社保卡数据接收，车载POS机新增社保卡交通部密钥授权识别，车载POS机社保卡数据存储管理，车载POS机新增社保卡的通讯传输协议内容支持，车载POS机新增社保卡的交通部密钥授权保存管理，车载POS机新增社保卡的交易流程，车载POS机新增社保卡的功能提示开发，车载POS机新增社保卡黑名单管理开发。</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码识别改造升级</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通过对接</w:t>
            </w:r>
            <w:r>
              <w:rPr>
                <w:rFonts w:hint="eastAsia" w:ascii="宋体" w:hAnsi="宋体" w:cs="宋体"/>
                <w:color w:val="000000"/>
                <w:kern w:val="0"/>
                <w:sz w:val="24"/>
                <w:szCs w:val="24"/>
                <w:lang w:val="en-US" w:eastAsia="zh-CN"/>
              </w:rPr>
              <w:t>电子社保卡</w:t>
            </w:r>
            <w:r>
              <w:rPr>
                <w:rFonts w:hint="eastAsia" w:ascii="宋体" w:hAnsi="宋体" w:cs="宋体"/>
                <w:color w:val="000000"/>
                <w:kern w:val="0"/>
                <w:sz w:val="24"/>
                <w:szCs w:val="24"/>
              </w:rPr>
              <w:t>标准体系，升级改造车载收费机程序，使车载收费机支持</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的读取、识别。车载POS机主界面增加</w:t>
            </w:r>
            <w:r>
              <w:rPr>
                <w:rFonts w:hint="eastAsia" w:ascii="宋体" w:hAnsi="宋体" w:cs="宋体"/>
                <w:color w:val="000000"/>
                <w:kern w:val="0"/>
                <w:sz w:val="24"/>
                <w:szCs w:val="24"/>
                <w:lang w:val="en-US" w:eastAsia="zh-CN"/>
              </w:rPr>
              <w:t>电子社保卡</w:t>
            </w:r>
            <w:r>
              <w:rPr>
                <w:rFonts w:hint="eastAsia" w:ascii="宋体" w:hAnsi="宋体" w:cs="宋体"/>
                <w:color w:val="000000"/>
                <w:kern w:val="0"/>
                <w:sz w:val="24"/>
                <w:szCs w:val="24"/>
              </w:rPr>
              <w:t>、衢通码信息，车载POS机新增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、衢通码信息读取，车载POS机心跳包增加</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、衢通码信息管理，车载POS机新增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、衢通码数据接收，车载POS机新增新增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、衢通码交通部密钥授权识别，车载POS机新增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、衢通码数据存储管理 数据推送，车载POS机新增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、衢通码的通讯传输协议内容支持，车载POS机新增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、衢通码的公钥保存管理，车载POS机新增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、衢通码的交易流程，车载POS机新增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、衢通码的文字提示开发，车载POS机新增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、衢通码黑名单管理开发。</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后端（交通一卡通）接口调用改造开发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在公交一卡通系统系统上开发接口，使第三代社会保障卡刷卡乘车或租借自行车从公交账务中心统一扣费。包括车载POS后端开发专门适合社保一卡通卡的接口，车载POS后端接口消费类报表升级改造，挂失类报表，消费记录结算报表，汇总报表，包括人员、车辆、线路、运营公司、消费类型、车载机数据交互。</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与收费机对接接口开发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根据收费机上报的第三代社会保障卡、</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信息进行乘车记录标识、记录。包括对黑名单管理，消费数据上传，一卡通公钥下载，一卡通对账文件管理，处理账户结算平台下发数据等文件数据管理，还包括</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乘车信息标识后推送衢州行云管理平台，识别</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70岁以上用户群体，识别</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用户未开通公交功能用户，识别</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用户已开通公交功能并按电子卡扣费，POS机识别社保卡与卡类型进行扣费，POS机推送社保卡乘车信息至衢州行云管理平台 ，POS机存储社保卡交易记录 ，POS机存储</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、衢通码交易记录，存储社保卡离线交易记录，新增POS机本地交易记录批量上传，公交运营系统社保卡本地交易记录定时清理，</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 xml:space="preserve">、衢通码本地交易记录定时清理，社保卡离线交易记录的批量提交 </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与应用服务（衢州行）接口调用开发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根据</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中的身份信息，向衢州行服务器发起请求，使市民可使用</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扫码乘车。包括衢州行通过接口请求获得</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信息授权，衢州行后端向社保一卡通后端服务请求获得</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加密信息，衢州行服务端解密二维码信息后返回衢州行App</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信息，衢州行App新增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展示页面，衢州行App新增展示居民相关信息，衢州行APP新增第三代社保卡退自行车押金功能，衢州行APP新增第三代社保卡借用自行车对接，衢州行APP新增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 xml:space="preserve">扫码交易记录。 </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公交一卡通系统一卡通系统（社保）和</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对接开发</w:t>
            </w: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乘车接口改造及Sdk改造</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针对第三代社会保障卡、</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形成的调用请求，根据其中身份信息来进行账户识别，对各种乘车业务（定价、折扣、一票制、分段计费等）进行处理，并对所有信息交互加解密。包括云平台上传社保卡提供公钥文件、</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、衢通码提供公钥文件、社保卡相关线路优惠策略数据、社保卡相关车辆优惠策略数据、社保卡相关人员优惠策略数据、社保卡相关时间优惠策略数据、</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、衢通码相关人员优惠策略数据、</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、衢通码相关时间优惠策略数据、车载机Sdk新增对</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、衢通码数据识别、车载机SKD新增对社保卡乘车数据存储与上传、车载POS机 SDK新增社保卡相关的折扣信息、车载POS机 SDK新增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、衢通码账务计算、</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数据读取、社保卡交易数据发送、</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乘车交易数据发送、离线交易数据(含社保卡、</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)批量发送、心跳包信息管理、版本信息管理、新增社保卡公钥管理、新增社保卡乘车数据存储管理、新增社保卡离线交易数据存储、新增社保卡离线交易数据上报、新增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、衢通码离线交易数据上报、新增社保卡公钥管理、新增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、衢通码乘车数据存储管理、新增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、衢通码离线交易数据上报、新增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、衢通码解密与识别。</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交易信息改造</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针对第三代社会保障卡、</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形成的调用请求，根据其中身份信息形成对应的乘车交易记录，以便乘客可以查询到自己的乘车记录。包括用户资料增加社保卡信息、增加社保卡用户访问方式、新增社保局柜面充值记录、新增社保局柜面退款、新增社保局柜台操作、新增社保局柜台功能开卡、新增社保局柜面社保卡注销、新增社保局柜面社保卡换绑、新增社保卡乘车消费信息存储、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乘车消费信息存储、新增社保卡租用公共自行车信息存储、新增社保卡扣缴开通自行车功能押金交易记录、新增社保卡退回自行车押金交易记录、现有乘车记录数据模型改造、现有充值记录数据模型改造、现有退款记录数据模型改造、现有开卡记录数据模型改造、现有用户信息数据模型改造、现有公共自行车租用记录数据模型改造。</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乘车记录信息改造</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针对一卡通、</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形成的调用请求，根据其中身份信息进行乘车记录管理。乘车记录信息改造主要包括公交一卡通系统公交行程记录改造、自行车行程记录改造、乘车统计改造、新增社保卡刷卡乘车、新增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扫码乘车、批量离线交易处理升级改造、新增社保卡信息识别、新增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、衢通码信息解密及识别、新增社保卡乘车信息记录、新增</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、衢通码乘车信息记录、对原乘车记录信息数据模型兼容性改造、新增公司客流报表改造、新增线路客流报表改造、新增车辆客流报表改造、新增司机客流报表改造。</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分类查询及报表功能开发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针对第三代社会保障卡、</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形成的刷卡、乘车等信息提供多维度查询统计和报表功能。包括业务报表按各区县组织机构改造，客流报表按各区县组织机构改造，收入报表按各区县组织机构改造，记录查询按各区县组织机构改造</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公交一卡通数据交换结算系统</w:t>
            </w: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组织机构管理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在原有只有市本级单一的组织架构下重新定义组织架构，新增区县机构，设立区码机制，方便区县使用和单独管理以及单独设分各自下属机构。新增区、县、公交公司机构层级，设立区码机制。包括新增区、县、公交公司机构层级，设立区码机制，设计组织机构数据模型、为现有所有资源数据模型 新增组织机构表示字段、新增组织机构、查询组织机构、编辑组织机构、新增区县公交公司、区县公交公司创建资金账户、查询区县公交公司、编辑区县公交公司。</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人员管理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模块组件化实现，为交通一卡通系统清分出各区县营运公司的驾乘人员，实现各区县自行管理人员。包括组织架构下各公司添加岗位信息，各公司编辑岗位信息，各公司导入岗位信息，各公司导出岗位信息，各公司查询岗位信息，各公司添加人员信息，各公司编辑人员信息，各公司查询人员信息，各公司关联员工App信息，各公司导入员工信息，各公司导出员工信息。</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车辆管理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模块组件化实现，为交通一卡通系统清分出各区县营运公司的运营车辆，实现各区县自行管理车辆。包括子公司添加车辆到对应子公司旗下，各子公司修改旗下车辆信息，各子公司导出旗下车辆信息，各子公司查询旗下车辆信息，各子公司导入旗下车辆信息。</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线路管理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模块组件化实现，为交通一卡通系统结算出各区县营运公司的独立运营线路，实现各区县自行管理线路。包括支持子公司添加车辆到对应子公司旗下，持公司编辑旗下线路信息、公司导出旗下线路信息、支持部门、公司查询旗下线路信息、支持部门、公司导入旗下线路信息、支持部门、公司删除旗下线路信息。</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站点管理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模块组件化实现，为交通一卡通系统清分出各区县的运营站点，实现各区县自行管理站点。包括支持部门、公司修改旗下站点信息、支持部门、公司导出旗下站点信息、支持部门、公司查询旗下站点信息、支持部门、公司导入旗下站点信息、支持部门、公司删除旗下站点信息。</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票价类型管理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模块组件化实现，为交通一卡通系统清分出各区县可自定义的运营票价类型和优惠折扣执行标准，实现各区县自行管理票价。包括支持部门、公司修改旗下票价信息、支持部门、公司导出旗下票价信息、支持部门、公司查询旗下票价信息、支持部门、公司导入旗下票价信息、支持部门、公司票价打折模板设置、支持部门、公司票价票价模板引用、支持部门、公司票价票价模板查询、支持部门、公司票价票价模板删除、支持部门、公司设置线路和票价绑定、支持部门、公司设置人员和票价绑定、支持部门、公司删除旗下票价信息</w:t>
            </w:r>
            <w:r>
              <w:rPr>
                <w:rFonts w:hint="eastAsia" w:ascii="宋体" w:hAnsi="宋体" w:cs="宋体"/>
                <w:color w:val="000000"/>
                <w:kern w:val="0"/>
                <w:sz w:val="24"/>
                <w:szCs w:val="24"/>
                <w:lang w:eastAsia="zh-CN"/>
              </w:rPr>
              <w:t>；支持公交一支通系统和车载收费机系统社保卡可自定义配置刷卡营销类型。</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权限管理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为交通一卡通建立机构、人员、车辆、线路、站点、票价类型、窗口业务系统、报表的模块化权限管理。包括报表模块权限控制，车辆模块权限控制，线路模块权限控制，站点模块权限控制，人员模块权限控制，票价模块权限控制，公司模块权限控制，角色模块权限控制，数据归集模块权限控制，接口模块权限控制，日志查看模块权限控制，日志删除模块权限控制，数据修改模块权限控制，业务模块权限控制。 </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账户管理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为区县各运营公司建立资金账户。包括账户新增，账户信息修改，账户删除，账户绑定，账户导出，账户异常处理，账户冻结，账户解冻，账户交易流水查询，账户交易流水导出，账户账单生成，账户信息查询，账户权限控制，账户卡绑定。</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收付款管理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根据刷卡、刷码形成的乘车交易信息进行收付款管理。包括支持公交一卡通系统社保卡收款明细查询、支持公交一卡通系统社保卡收款明细导出、支持公交一卡通系统社保卡收退款明细分析、支持公交一卡通系统社保卡收款明细按区县或部门汇总、支持公交一卡通系统社保卡退款明细按区县或部门汇总、支持公交一卡通系统</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、衢通码收款明细查询、支持公交一卡通系统</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、衢通码收款明细导出、支持公交一卡通系统</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、衢通码收付款明细按区县或部门汇总、支持公交一卡通系统</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、衢通码收退款明细分析、支持公交一卡通系统</w:t>
            </w:r>
            <w:r>
              <w:rPr>
                <w:rFonts w:hint="eastAsia" w:ascii="宋体" w:hAnsi="宋体" w:cs="宋体"/>
                <w:color w:val="000000"/>
                <w:kern w:val="0"/>
                <w:sz w:val="24"/>
                <w:szCs w:val="24"/>
                <w:lang w:eastAsia="zh-CN"/>
              </w:rPr>
              <w:t>电子社保卡</w:t>
            </w:r>
            <w:r>
              <w:rPr>
                <w:rFonts w:hint="eastAsia" w:ascii="宋体" w:hAnsi="宋体" w:cs="宋体"/>
                <w:color w:val="000000"/>
                <w:kern w:val="0"/>
                <w:sz w:val="24"/>
                <w:szCs w:val="24"/>
              </w:rPr>
              <w:t>、衢通码退款明细按区县或部门汇总。</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清结算管理</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根据各区县清分属性对乘车交易进行各账户清算，然后根据结算结果进行资金转结。包括资金账户查看权限新增，资金结算功能权限新增和功能重构，乘车数据报表导出权限新增和功能重构，资金结算审核权限新增，资金结算权限新增和功能重构，新增对账功能，清结算账务异常处理功能，清结算人工审核功能，清结算定时报表生成功能，清结算报表汇总功能，清结算查询功能，清结算报表导出功能，新增清结算权限功能，清结算转账功能，清结算定时器设置，清结算操作日志权限管理，清结算操作日志查看，清结算操作日志删除，资金清结算信息查看权限新增。</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报表开发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为各区县各运营公司提供各类清分清算报表，账户消费等报表开发。包括对公司客流报表进行权限新增和功能重构，主要包括线路客流表权限、车辆客流表权限、pos机客流权限、司机客流表，并对业务报表进行新增和功能重构，包括按云卡统计表、充值报表、车票报表、押金报表、退款报表等进行权限新增和功能重构。</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居民一卡通平台和公交一卡通系统间业务打通对接开发</w:t>
            </w: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公交账户开通接口开发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为第三代社会保障卡居民服务一卡通开通或绑定公交账户，实现第三代社会保障卡与公交账户的互通。为公交一卡系统上开发第三代社保卡开户挂失、换卡等功能。</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实体卡充值等所有业务办理对接开发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实体卡业务接口开发，实现第三代社会保障卡在居民服务一卡通平台中对接公交账户、对接公交卡业务进行开发，使第三代社会保障卡能在居民服务一卡通平台上办理公交充值、办卡、换卡、挂失、退费等所有公交卡业务和进行公交卡其他业务处理。</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实体卡自行车业务对接开发</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为第三代社保社会保障卡在居民服务一卡通平台上缴纳公共自行车保证金、并可以开通或者关闭公共自行车等其他功能开发，以及处理公共自行车租借异常业务及查询等功能。</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实名认证接口</w:t>
            </w:r>
          </w:p>
        </w:tc>
        <w:tc>
          <w:tcPr>
            <w:tcW w:w="55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支持为第三代社会保障卡对应的公交账户进行实名认证。包括公安厅接口实名认证，身份证实名认证，户口本实名认证，人脸识别实名认证，支付宝实名认证等内容。</w:t>
            </w: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r>
        <w:tblPrEx>
          <w:tblCellMar>
            <w:top w:w="15" w:type="dxa"/>
            <w:left w:w="108" w:type="dxa"/>
            <w:bottom w:w="0" w:type="dxa"/>
            <w:right w:w="108" w:type="dxa"/>
          </w:tblCellMar>
        </w:tblPrEx>
        <w:trPr>
          <w:trHeight w:val="468" w:hRule="atLeast"/>
        </w:trPr>
        <w:tc>
          <w:tcPr>
            <w:tcW w:w="126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225"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135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c>
          <w:tcPr>
            <w:tcW w:w="55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kern w:val="0"/>
                <w:sz w:val="24"/>
                <w:szCs w:val="24"/>
              </w:rPr>
            </w:pPr>
          </w:p>
        </w:tc>
      </w:tr>
    </w:tbl>
    <w:p>
      <w:pPr>
        <w:spacing w:line="360" w:lineRule="auto"/>
        <w:rPr>
          <w:rFonts w:hint="eastAsia" w:ascii="宋体" w:hAnsi="宋体" w:cs="宋体"/>
          <w:color w:val="000000"/>
          <w:sz w:val="24"/>
          <w:szCs w:val="24"/>
        </w:rPr>
        <w:sectPr>
          <w:pgSz w:w="11906" w:h="16838"/>
          <w:pgMar w:top="1440" w:right="1800" w:bottom="1440" w:left="1800" w:header="851" w:footer="992" w:gutter="0"/>
          <w:cols w:space="720" w:num="1"/>
          <w:docGrid w:type="lines" w:linePitch="312" w:charSpace="0"/>
        </w:sectPr>
      </w:pP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硬件采购需求清单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269"/>
        <w:gridCol w:w="3919"/>
        <w:gridCol w:w="1017"/>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blHeader/>
          <w:jc w:val="center"/>
        </w:trPr>
        <w:tc>
          <w:tcPr>
            <w:tcW w:w="449" w:type="pct"/>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745" w:type="pct"/>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设备名称</w:t>
            </w:r>
          </w:p>
        </w:tc>
        <w:tc>
          <w:tcPr>
            <w:tcW w:w="2300" w:type="pct"/>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功能描述</w:t>
            </w:r>
          </w:p>
        </w:tc>
        <w:tc>
          <w:tcPr>
            <w:tcW w:w="597" w:type="pct"/>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909" w:type="pct"/>
            <w:noWrap w:val="0"/>
            <w:vAlign w:val="center"/>
          </w:tcPr>
          <w:p>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49"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p>
            <w:pPr>
              <w:widowControl/>
              <w:spacing w:line="360" w:lineRule="auto"/>
              <w:jc w:val="center"/>
              <w:rPr>
                <w:rFonts w:hint="eastAsia" w:ascii="宋体" w:hAnsi="宋体" w:cs="宋体"/>
                <w:color w:val="000000"/>
                <w:kern w:val="0"/>
                <w:sz w:val="24"/>
                <w:szCs w:val="24"/>
              </w:rPr>
            </w:pPr>
          </w:p>
        </w:tc>
        <w:tc>
          <w:tcPr>
            <w:tcW w:w="745"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区县公交车终端设备</w:t>
            </w:r>
          </w:p>
        </w:tc>
        <w:tc>
          <w:tcPr>
            <w:tcW w:w="2300" w:type="pct"/>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车载收费机参数：</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1、直流工作电压 DC9V---55V。</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2、工作电流</w:t>
            </w:r>
            <w:r>
              <w:rPr>
                <w:rFonts w:hint="eastAsia" w:ascii="宋体" w:hAnsi="宋体" w:cs="宋体"/>
                <w:color w:val="000000"/>
                <w:kern w:val="0"/>
                <w:sz w:val="24"/>
                <w:szCs w:val="24"/>
              </w:rPr>
              <w:tab/>
            </w:r>
            <w:r>
              <w:rPr>
                <w:rFonts w:hint="eastAsia" w:ascii="宋体" w:hAnsi="宋体" w:cs="宋体"/>
                <w:color w:val="000000"/>
                <w:kern w:val="0"/>
                <w:sz w:val="24"/>
                <w:szCs w:val="24"/>
              </w:rPr>
              <w:t>小于1A 。</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3、双屏显示 </w:t>
            </w:r>
            <w:r>
              <w:rPr>
                <w:rFonts w:hint="eastAsia" w:ascii="宋体" w:hAnsi="宋体" w:cs="宋体"/>
                <w:color w:val="000000"/>
                <w:kern w:val="0"/>
                <w:sz w:val="24"/>
                <w:szCs w:val="24"/>
              </w:rPr>
              <w:tab/>
            </w:r>
            <w:r>
              <w:rPr>
                <w:rFonts w:hint="eastAsia" w:ascii="宋体" w:hAnsi="宋体" w:cs="宋体"/>
                <w:color w:val="000000"/>
                <w:kern w:val="0"/>
                <w:sz w:val="24"/>
                <w:szCs w:val="24"/>
              </w:rPr>
              <w:t>正面：五寸高清彩屏（TFT800×RGB×480   背面：三位数码管 。</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4、操作系统</w:t>
            </w:r>
            <w:r>
              <w:rPr>
                <w:rFonts w:hint="eastAsia" w:ascii="宋体" w:hAnsi="宋体" w:cs="宋体"/>
                <w:color w:val="000000"/>
                <w:kern w:val="0"/>
                <w:sz w:val="24"/>
                <w:szCs w:val="24"/>
              </w:rPr>
              <w:tab/>
            </w:r>
            <w:r>
              <w:rPr>
                <w:rFonts w:hint="eastAsia" w:ascii="宋体" w:hAnsi="宋体" w:cs="宋体"/>
                <w:color w:val="000000"/>
                <w:kern w:val="0"/>
                <w:sz w:val="24"/>
                <w:szCs w:val="24"/>
              </w:rPr>
              <w:t>Android 。</w:t>
            </w:r>
          </w:p>
          <w:p>
            <w:pPr>
              <w:widowControl/>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w:t>
            </w:r>
            <w:r>
              <w:rPr>
                <w:rFonts w:hint="eastAsia" w:ascii="宋体" w:hAnsi="宋体" w:cs="宋体"/>
                <w:color w:val="000000"/>
                <w:kern w:val="0"/>
                <w:sz w:val="24"/>
                <w:szCs w:val="24"/>
              </w:rPr>
              <w:t>5、</w:t>
            </w:r>
            <w:r>
              <w:rPr>
                <w:rFonts w:hint="eastAsia" w:ascii="宋体" w:hAnsi="宋体" w:cs="宋体"/>
                <w:b/>
                <w:bCs/>
                <w:color w:val="000000"/>
                <w:kern w:val="0"/>
                <w:sz w:val="24"/>
                <w:szCs w:val="24"/>
              </w:rPr>
              <w:t>CPU处理器</w:t>
            </w:r>
            <w:r>
              <w:rPr>
                <w:rFonts w:hint="eastAsia" w:ascii="宋体" w:hAnsi="宋体" w:cs="宋体"/>
                <w:b/>
                <w:bCs/>
                <w:color w:val="000000"/>
                <w:kern w:val="0"/>
                <w:sz w:val="24"/>
                <w:szCs w:val="24"/>
              </w:rPr>
              <w:tab/>
            </w:r>
            <w:r>
              <w:rPr>
                <w:rFonts w:hint="eastAsia" w:ascii="宋体" w:hAnsi="宋体" w:cs="宋体"/>
                <w:b/>
                <w:bCs/>
                <w:color w:val="000000"/>
                <w:kern w:val="0"/>
                <w:sz w:val="24"/>
                <w:szCs w:val="24"/>
              </w:rPr>
              <w:t>ARM A9四核心处理器 ，主频：1GHz，存储带宽： 6.4GB/s。（需提供产品性能截图证明材料）</w:t>
            </w:r>
          </w:p>
          <w:p>
            <w:pPr>
              <w:widowControl/>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★6、主存储</w:t>
            </w:r>
            <w:r>
              <w:rPr>
                <w:rFonts w:hint="eastAsia" w:ascii="宋体" w:hAnsi="宋体" w:cs="宋体"/>
                <w:b/>
                <w:bCs/>
                <w:color w:val="000000"/>
                <w:kern w:val="0"/>
                <w:sz w:val="24"/>
                <w:szCs w:val="24"/>
              </w:rPr>
              <w:tab/>
            </w:r>
            <w:r>
              <w:rPr>
                <w:rFonts w:hint="eastAsia" w:ascii="宋体" w:hAnsi="宋体" w:cs="宋体"/>
                <w:b/>
                <w:bCs/>
                <w:color w:val="000000"/>
                <w:kern w:val="0"/>
                <w:sz w:val="24"/>
                <w:szCs w:val="24"/>
              </w:rPr>
              <w:t>标配：8GBeMMC，可存储不少于50万条以上交易和管理数据以及10万条黑名单记录，可根据用户需求进行扩展。（需提供产品性能截图证明材料）</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7、非接触式IC卡读写模块</w:t>
            </w:r>
            <w:r>
              <w:rPr>
                <w:rFonts w:hint="eastAsia" w:ascii="宋体" w:hAnsi="宋体" w:cs="宋体"/>
                <w:color w:val="000000"/>
                <w:kern w:val="0"/>
                <w:sz w:val="24"/>
                <w:szCs w:val="24"/>
              </w:rPr>
              <w:tab/>
            </w:r>
            <w:r>
              <w:rPr>
                <w:rFonts w:hint="eastAsia" w:ascii="宋体" w:hAnsi="宋体" w:cs="宋体"/>
                <w:color w:val="000000"/>
                <w:kern w:val="0"/>
                <w:sz w:val="24"/>
                <w:szCs w:val="24"/>
              </w:rPr>
              <w:t>读写符合ISO 14443 TYPE A/B的MF1、CPU卡，支持交通部、住建部标准的CPU卡、银联PBOC2.0/3.0标准CPU卡、银联云闪付、移动SIMPASS卡；支持NFC、银联云闪付等等。</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8、射频工作频点</w:t>
            </w:r>
            <w:r>
              <w:rPr>
                <w:rFonts w:hint="eastAsia" w:ascii="宋体" w:hAnsi="宋体" w:cs="宋体"/>
                <w:color w:val="000000"/>
                <w:kern w:val="0"/>
                <w:sz w:val="24"/>
                <w:szCs w:val="24"/>
              </w:rPr>
              <w:tab/>
            </w:r>
            <w:r>
              <w:rPr>
                <w:rFonts w:hint="eastAsia" w:ascii="宋体" w:hAnsi="宋体" w:cs="宋体"/>
                <w:color w:val="000000"/>
                <w:kern w:val="0"/>
                <w:sz w:val="24"/>
                <w:szCs w:val="24"/>
              </w:rPr>
              <w:t>13.56MHz±10%</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9、卡处理速度</w:t>
            </w:r>
            <w:r>
              <w:rPr>
                <w:rFonts w:hint="eastAsia" w:ascii="宋体" w:hAnsi="宋体" w:cs="宋体"/>
                <w:color w:val="000000"/>
                <w:kern w:val="0"/>
                <w:sz w:val="24"/>
                <w:szCs w:val="24"/>
              </w:rPr>
              <w:tab/>
            </w:r>
            <w:r>
              <w:rPr>
                <w:rFonts w:hint="eastAsia" w:ascii="宋体" w:hAnsi="宋体" w:cs="宋体"/>
                <w:color w:val="000000"/>
                <w:kern w:val="0"/>
                <w:sz w:val="24"/>
                <w:szCs w:val="24"/>
              </w:rPr>
              <w:t>M1卡典型交易时间≤300ms，CPU卡典型交易时间≤300ms。</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10、二维码阅读器</w:t>
            </w:r>
            <w:r>
              <w:rPr>
                <w:rFonts w:hint="eastAsia" w:ascii="宋体" w:hAnsi="宋体" w:cs="宋体"/>
                <w:color w:val="000000"/>
                <w:kern w:val="0"/>
                <w:sz w:val="24"/>
                <w:szCs w:val="24"/>
              </w:rPr>
              <w:tab/>
            </w:r>
            <w:r>
              <w:rPr>
                <w:rFonts w:hint="eastAsia" w:ascii="宋体" w:hAnsi="宋体" w:cs="宋体"/>
                <w:color w:val="000000"/>
                <w:kern w:val="0"/>
                <w:sz w:val="24"/>
                <w:szCs w:val="24"/>
              </w:rPr>
              <w:t>"支持企业自主二维码标准；支持住建部、交通部等行业二维码应用标准；支持支付宝、微信、银联等第三方的二维码应用技术标准；识别方式752×480CMOS；</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11、二维码识读码制，二维码FDF417、Data Matrix、QR Code、一维纸质码；识读模式：感应识读；识读精度：10mil。</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12、安全模组（PSAM）接口，</w:t>
            </w:r>
            <w:r>
              <w:rPr>
                <w:rFonts w:hint="eastAsia" w:ascii="宋体" w:hAnsi="宋体" w:cs="宋体"/>
                <w:color w:val="000000"/>
                <w:kern w:val="0"/>
                <w:sz w:val="24"/>
                <w:szCs w:val="24"/>
              </w:rPr>
              <w:tab/>
            </w:r>
            <w:r>
              <w:rPr>
                <w:rFonts w:hint="eastAsia" w:ascii="宋体" w:hAnsi="宋体" w:cs="宋体"/>
                <w:color w:val="000000"/>
                <w:kern w:val="0"/>
                <w:sz w:val="24"/>
                <w:szCs w:val="24"/>
              </w:rPr>
              <w:t>4个PSAM卡槽。</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13、外部通信接口</w:t>
            </w:r>
            <w:r>
              <w:rPr>
                <w:rFonts w:hint="eastAsia" w:ascii="宋体" w:hAnsi="宋体" w:cs="宋体"/>
                <w:color w:val="000000"/>
                <w:kern w:val="0"/>
                <w:sz w:val="24"/>
                <w:szCs w:val="24"/>
              </w:rPr>
              <w:tab/>
            </w:r>
            <w:r>
              <w:rPr>
                <w:rFonts w:hint="eastAsia" w:ascii="宋体" w:hAnsi="宋体" w:cs="宋体"/>
                <w:color w:val="000000"/>
                <w:kern w:val="0"/>
                <w:sz w:val="24"/>
                <w:szCs w:val="24"/>
              </w:rPr>
              <w:t>1个RS-232接口；1个USB2.0接口。</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14、无线通信模块</w:t>
            </w:r>
            <w:r>
              <w:rPr>
                <w:rFonts w:hint="eastAsia" w:ascii="宋体" w:hAnsi="宋体" w:cs="宋体"/>
                <w:color w:val="000000"/>
                <w:kern w:val="0"/>
                <w:sz w:val="24"/>
                <w:szCs w:val="24"/>
              </w:rPr>
              <w:tab/>
            </w:r>
            <w:r>
              <w:rPr>
                <w:rFonts w:hint="eastAsia" w:ascii="宋体" w:hAnsi="宋体" w:cs="宋体"/>
                <w:color w:val="000000"/>
                <w:kern w:val="0"/>
                <w:sz w:val="24"/>
                <w:szCs w:val="24"/>
              </w:rPr>
              <w:t>4G全网通，支持GPRS、CDMA、3G。</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15、卫星定位系统</w:t>
            </w:r>
            <w:r>
              <w:rPr>
                <w:rFonts w:hint="eastAsia" w:ascii="宋体" w:hAnsi="宋体" w:cs="宋体"/>
                <w:color w:val="000000"/>
                <w:kern w:val="0"/>
                <w:sz w:val="24"/>
                <w:szCs w:val="24"/>
              </w:rPr>
              <w:tab/>
            </w:r>
            <w:r>
              <w:rPr>
                <w:rFonts w:hint="eastAsia" w:ascii="宋体" w:hAnsi="宋体" w:cs="宋体"/>
                <w:color w:val="000000"/>
                <w:kern w:val="0"/>
                <w:sz w:val="24"/>
                <w:szCs w:val="24"/>
              </w:rPr>
              <w:t>支持GPS/北斗定位功能。</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16、语音</w:t>
            </w:r>
            <w:r>
              <w:rPr>
                <w:rFonts w:hint="eastAsia" w:ascii="宋体" w:hAnsi="宋体" w:cs="宋体"/>
                <w:color w:val="000000"/>
                <w:kern w:val="0"/>
                <w:sz w:val="24"/>
                <w:szCs w:val="24"/>
              </w:rPr>
              <w:tab/>
            </w:r>
            <w:r>
              <w:rPr>
                <w:rFonts w:hint="eastAsia" w:ascii="宋体" w:hAnsi="宋体" w:cs="宋体"/>
                <w:color w:val="000000"/>
                <w:kern w:val="0"/>
                <w:sz w:val="24"/>
                <w:szCs w:val="24"/>
              </w:rPr>
              <w:t>TTS语音+喇叭</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17、功能按钮</w:t>
            </w:r>
            <w:r>
              <w:rPr>
                <w:rFonts w:hint="eastAsia" w:ascii="宋体" w:hAnsi="宋体" w:cs="宋体"/>
                <w:color w:val="000000"/>
                <w:kern w:val="0"/>
                <w:sz w:val="24"/>
                <w:szCs w:val="24"/>
              </w:rPr>
              <w:tab/>
            </w:r>
            <w:r>
              <w:rPr>
                <w:rFonts w:hint="eastAsia" w:ascii="宋体" w:hAnsi="宋体" w:cs="宋体"/>
                <w:color w:val="000000"/>
                <w:kern w:val="0"/>
                <w:sz w:val="24"/>
                <w:szCs w:val="24"/>
              </w:rPr>
              <w:t>4个。</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18、刷卡操作状态指示灯，采用红、绿、白三色代表不同的状态。</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19、安装方式，支持在横向杆和直立杆的安装方式。</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20、时钟，百年历，误差小于20秒/月。</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21、工作温度</w:t>
            </w:r>
            <w:r>
              <w:rPr>
                <w:rFonts w:hint="eastAsia" w:ascii="宋体" w:hAnsi="宋体" w:cs="宋体"/>
                <w:color w:val="000000"/>
                <w:kern w:val="0"/>
                <w:sz w:val="24"/>
                <w:szCs w:val="24"/>
              </w:rPr>
              <w:tab/>
            </w:r>
            <w:r>
              <w:rPr>
                <w:rFonts w:hint="eastAsia" w:ascii="宋体" w:hAnsi="宋体" w:cs="宋体"/>
                <w:color w:val="000000"/>
                <w:kern w:val="0"/>
                <w:sz w:val="24"/>
                <w:szCs w:val="24"/>
              </w:rPr>
              <w:t>-20℃～+65℃</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22、存储条件温度</w:t>
            </w:r>
            <w:r>
              <w:rPr>
                <w:rFonts w:hint="eastAsia" w:ascii="宋体" w:hAnsi="宋体" w:cs="宋体"/>
                <w:color w:val="000000"/>
                <w:kern w:val="0"/>
                <w:sz w:val="24"/>
                <w:szCs w:val="24"/>
              </w:rPr>
              <w:tab/>
            </w:r>
            <w:r>
              <w:rPr>
                <w:rFonts w:hint="eastAsia" w:ascii="宋体" w:hAnsi="宋体" w:cs="宋体"/>
                <w:color w:val="000000"/>
                <w:kern w:val="0"/>
                <w:sz w:val="24"/>
                <w:szCs w:val="24"/>
              </w:rPr>
              <w:t>-30℃～+70℃；湿度≤96%。</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23、抗瞬间电压，可抗±4500V以上的高频脉冲群干扰</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24、抗振动</w:t>
            </w:r>
            <w:r>
              <w:rPr>
                <w:rFonts w:hint="eastAsia" w:ascii="宋体" w:hAnsi="宋体" w:cs="宋体"/>
                <w:color w:val="000000"/>
                <w:kern w:val="0"/>
                <w:sz w:val="24"/>
                <w:szCs w:val="24"/>
              </w:rPr>
              <w:tab/>
            </w:r>
            <w:r>
              <w:rPr>
                <w:rFonts w:hint="eastAsia" w:ascii="宋体" w:hAnsi="宋体" w:cs="宋体"/>
                <w:color w:val="000000"/>
                <w:kern w:val="0"/>
                <w:sz w:val="24"/>
                <w:szCs w:val="24"/>
              </w:rPr>
              <w:t>峰值加速度 300m/s2，脉冲持续时间 9 ms 条件下仍能正常工作。</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25、外形尺寸</w:t>
            </w:r>
            <w:r>
              <w:rPr>
                <w:rFonts w:hint="eastAsia" w:ascii="宋体" w:hAnsi="宋体" w:cs="宋体"/>
                <w:color w:val="000000"/>
                <w:kern w:val="0"/>
                <w:sz w:val="24"/>
                <w:szCs w:val="24"/>
              </w:rPr>
              <w:tab/>
            </w:r>
            <w:r>
              <w:rPr>
                <w:rFonts w:hint="eastAsia" w:ascii="宋体" w:hAnsi="宋体" w:cs="宋体"/>
                <w:color w:val="000000"/>
                <w:kern w:val="0"/>
                <w:sz w:val="24"/>
                <w:szCs w:val="24"/>
              </w:rPr>
              <w:t>H：243mm,W：143mm，D：42mm</w:t>
            </w:r>
          </w:p>
          <w:p>
            <w:pPr>
              <w:widowControl/>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★26、选配可扩展，扩展存储卡槽：TF卡可扩展备份存储空间：16G（最大存储扩展容量64G）。外部通信接口：1个RS-485（或者RS-232) （需提供产品性能截图证明材料）</w:t>
            </w:r>
          </w:p>
          <w:p>
            <w:pPr>
              <w:widowControl/>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★27、所提供的车载POS机，必须包含衢州公交POS车载机内嵌软件功能，支持衢州公交现有的一票制、分段收费和换乘优惠功能。</w:t>
            </w:r>
          </w:p>
        </w:tc>
        <w:tc>
          <w:tcPr>
            <w:tcW w:w="597" w:type="pct"/>
            <w:noWrap w:val="0"/>
            <w:vAlign w:val="center"/>
          </w:tcPr>
          <w:p>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405套</w:t>
            </w:r>
          </w:p>
        </w:tc>
        <w:tc>
          <w:tcPr>
            <w:tcW w:w="909"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1、给江山、龙游、常山、开化公交部署车载收费机，实现第三代 社会保障卡区县互通场景应用</w:t>
            </w:r>
          </w:p>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2、采购的设备内含交通部PSAM卡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9"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745"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车载POS机程序</w:t>
            </w:r>
          </w:p>
        </w:tc>
        <w:tc>
          <w:tcPr>
            <w:tcW w:w="2300" w:type="pct"/>
            <w:noWrap w:val="0"/>
            <w:vAlign w:val="center"/>
          </w:tcPr>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1、支持衢州公交现有各类实体卡、虚拟卡、本地卡、异地卡等卡类的联机、脱机消费交易。</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2、支持衢州公交自有二维码、支付宝、微信支付、银联二维码等第三方扫码支付交易。</w:t>
            </w:r>
          </w:p>
          <w:p>
            <w:pPr>
              <w:widowControl/>
              <w:spacing w:line="360" w:lineRule="auto"/>
              <w:jc w:val="left"/>
              <w:rPr>
                <w:rFonts w:hint="eastAsia" w:ascii="宋体" w:hAnsi="宋体" w:cs="宋体"/>
                <w:b/>
                <w:bCs/>
                <w:color w:val="000000"/>
                <w:kern w:val="0"/>
                <w:sz w:val="24"/>
                <w:szCs w:val="24"/>
              </w:rPr>
            </w:pPr>
            <w:r>
              <w:rPr>
                <w:rFonts w:hint="eastAsia" w:ascii="宋体" w:hAnsi="宋体" w:cs="宋体"/>
                <w:color w:val="000000"/>
                <w:kern w:val="0"/>
                <w:sz w:val="24"/>
                <w:szCs w:val="24"/>
              </w:rPr>
              <w:t>3、支持衢州公交现有的一票制、分段收费和换乘优惠功能。</w:t>
            </w:r>
          </w:p>
        </w:tc>
        <w:tc>
          <w:tcPr>
            <w:tcW w:w="597"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每台配套</w:t>
            </w:r>
          </w:p>
        </w:tc>
        <w:tc>
          <w:tcPr>
            <w:tcW w:w="909"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每台配套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449"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745"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改造实施</w:t>
            </w:r>
          </w:p>
        </w:tc>
        <w:tc>
          <w:tcPr>
            <w:tcW w:w="2300" w:type="pct"/>
            <w:noWrap w:val="0"/>
            <w:vAlign w:val="center"/>
          </w:tcPr>
          <w:p>
            <w:pPr>
              <w:widowControl/>
              <w:spacing w:line="360" w:lineRule="auto"/>
              <w:jc w:val="left"/>
              <w:rPr>
                <w:rFonts w:hint="eastAsia" w:ascii="宋体" w:hAnsi="宋体" w:cs="宋体"/>
                <w:color w:val="000000"/>
                <w:sz w:val="24"/>
                <w:szCs w:val="24"/>
              </w:rPr>
            </w:pPr>
            <w:r>
              <w:rPr>
                <w:rFonts w:hint="eastAsia" w:ascii="宋体" w:hAnsi="宋体" w:cs="宋体"/>
                <w:color w:val="000000"/>
                <w:kern w:val="0"/>
                <w:sz w:val="24"/>
                <w:szCs w:val="24"/>
              </w:rPr>
              <w:t>区县公交改造实施费用：车载收费机终端设备安装实施，全区县共计1000台公交车安装车载收费机终端设备</w:t>
            </w:r>
          </w:p>
        </w:tc>
        <w:tc>
          <w:tcPr>
            <w:tcW w:w="597" w:type="pct"/>
            <w:noWrap w:val="0"/>
            <w:vAlign w:val="center"/>
          </w:tcPr>
          <w:p>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1000台</w:t>
            </w:r>
          </w:p>
        </w:tc>
        <w:tc>
          <w:tcPr>
            <w:tcW w:w="909" w:type="pct"/>
            <w:noWrap w:val="0"/>
            <w:vAlign w:val="center"/>
          </w:tcPr>
          <w:p>
            <w:pPr>
              <w:widowControl/>
              <w:spacing w:line="360" w:lineRule="auto"/>
              <w:jc w:val="both"/>
              <w:rPr>
                <w:rFonts w:hint="eastAsia" w:ascii="宋体" w:hAnsi="宋体" w:cs="宋体"/>
                <w:color w:val="000000"/>
                <w:kern w:val="0"/>
                <w:sz w:val="24"/>
                <w:szCs w:val="24"/>
              </w:rPr>
            </w:pPr>
            <w:r>
              <w:rPr>
                <w:rFonts w:hint="eastAsia" w:ascii="宋体" w:hAnsi="宋体" w:cs="宋体"/>
                <w:color w:val="000000"/>
                <w:kern w:val="0"/>
                <w:sz w:val="24"/>
                <w:szCs w:val="24"/>
              </w:rPr>
              <w:t>全区县共计1000台公交车安装车载收费机终端设备</w:t>
            </w:r>
          </w:p>
        </w:tc>
      </w:tr>
    </w:tbl>
    <w:p>
      <w:pPr>
        <w:spacing w:line="360" w:lineRule="auto"/>
        <w:rPr>
          <w:rFonts w:hint="eastAsia" w:ascii="宋体" w:hAnsi="宋体" w:cs="宋体"/>
          <w:color w:val="000000"/>
          <w:sz w:val="24"/>
          <w:szCs w:val="24"/>
        </w:rPr>
      </w:pPr>
    </w:p>
    <w:p>
      <w:pPr>
        <w:pStyle w:val="2"/>
        <w:numPr>
          <w:ilvl w:val="0"/>
          <w:numId w:val="2"/>
        </w:numPr>
        <w:spacing w:before="0" w:after="0" w:line="360" w:lineRule="auto"/>
        <w:rPr>
          <w:rFonts w:hint="eastAsia" w:ascii="宋体" w:hAnsi="宋体" w:cs="宋体"/>
          <w:color w:val="000000"/>
          <w:sz w:val="24"/>
          <w:szCs w:val="24"/>
        </w:rPr>
      </w:pPr>
      <w:r>
        <w:rPr>
          <w:rFonts w:hint="eastAsia" w:ascii="宋体" w:hAnsi="宋体" w:cs="宋体"/>
          <w:color w:val="000000"/>
          <w:sz w:val="24"/>
          <w:szCs w:val="24"/>
        </w:rPr>
        <w:t>其他要求</w:t>
      </w: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源代码</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项目终验合格后，本项目系统源代码和相关技术资料需全部提供给采购人。</w:t>
      </w: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知识产权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本项目对知识产权有明确要求，本项目过程中产生的所有相关的知识产权，无论以任何载体形式出现的工作成果，其开发的工作成果及知识产权均属于采购人所有。</w:t>
      </w: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付款方式</w:t>
      </w:r>
    </w:p>
    <w:p>
      <w:pPr>
        <w:spacing w:line="360" w:lineRule="auto"/>
        <w:ind w:firstLine="480" w:firstLineChars="200"/>
        <w:rPr>
          <w:rFonts w:hint="eastAsia" w:ascii="宋体" w:hAnsi="宋体" w:cs="宋体"/>
          <w:color w:val="000000"/>
          <w:sz w:val="24"/>
          <w:szCs w:val="24"/>
        </w:rPr>
      </w:pPr>
      <w:r>
        <w:rPr>
          <w:rFonts w:hint="eastAsia" w:ascii="宋体" w:hAnsi="宋体" w:eastAsia="宋体" w:cs="宋体"/>
          <w:b w:val="0"/>
          <w:bCs/>
          <w:i w:val="0"/>
          <w:iCs w:val="0"/>
          <w:caps w:val="0"/>
          <w:color w:val="000000"/>
          <w:spacing w:val="0"/>
          <w:sz w:val="24"/>
          <w:szCs w:val="24"/>
          <w:shd w:val="clear" w:color="auto" w:fill="FFFFFF"/>
        </w:rPr>
        <w:t>1、合同签订后15个工作日内，乙方凭发票向甲方办理合同总额30%的预付款支付手续，由社保卡合作银行根据《衢州市社会保障卡居民服务“一卡通”项目协议书》向乙方支付。</w:t>
      </w:r>
      <w:r>
        <w:rPr>
          <w:rFonts w:hint="eastAsia" w:ascii="宋体" w:hAnsi="宋体" w:eastAsia="宋体" w:cs="宋体"/>
          <w:b w:val="0"/>
          <w:bCs/>
          <w:i w:val="0"/>
          <w:iCs w:val="0"/>
          <w:caps w:val="0"/>
          <w:color w:val="000000"/>
          <w:spacing w:val="0"/>
          <w:sz w:val="24"/>
          <w:szCs w:val="24"/>
          <w:shd w:val="clear" w:color="auto" w:fill="FFFFFF"/>
        </w:rPr>
        <w:br w:type="textWrapping"/>
      </w:r>
      <w:r>
        <w:rPr>
          <w:rFonts w:hint="eastAsia" w:ascii="宋体" w:hAnsi="宋体" w:eastAsia="宋体" w:cs="宋体"/>
          <w:b w:val="0"/>
          <w:bCs/>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i w:val="0"/>
          <w:iCs w:val="0"/>
          <w:caps w:val="0"/>
          <w:color w:val="000000"/>
          <w:spacing w:val="0"/>
          <w:sz w:val="24"/>
          <w:szCs w:val="24"/>
          <w:shd w:val="clear" w:color="auto" w:fill="FFFFFF"/>
        </w:rPr>
        <w:t>2、项目完成并初验合格后，15个工作日内办理合同总额50%的支付手续, 由社保卡合作银行根据《衢州市社会保障卡居民服务“一卡通”项目协议书》向乙方支付。</w:t>
      </w:r>
      <w:r>
        <w:rPr>
          <w:rFonts w:hint="eastAsia" w:ascii="宋体" w:hAnsi="宋体" w:eastAsia="宋体" w:cs="宋体"/>
          <w:b w:val="0"/>
          <w:bCs/>
          <w:i w:val="0"/>
          <w:iCs w:val="0"/>
          <w:caps w:val="0"/>
          <w:color w:val="000000"/>
          <w:spacing w:val="0"/>
          <w:sz w:val="24"/>
          <w:szCs w:val="24"/>
          <w:shd w:val="clear" w:color="auto" w:fill="FFFFFF"/>
        </w:rPr>
        <w:br w:type="textWrapping"/>
      </w:r>
      <w:r>
        <w:rPr>
          <w:rFonts w:hint="eastAsia" w:ascii="宋体" w:hAnsi="宋体" w:eastAsia="宋体" w:cs="宋体"/>
          <w:b w:val="0"/>
          <w:bCs/>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i w:val="0"/>
          <w:iCs w:val="0"/>
          <w:caps w:val="0"/>
          <w:color w:val="000000"/>
          <w:spacing w:val="0"/>
          <w:sz w:val="24"/>
          <w:szCs w:val="24"/>
          <w:shd w:val="clear" w:color="auto" w:fill="FFFFFF"/>
        </w:rPr>
        <w:t>3、项目完成并终验合格后，15个工作日内办理合同总额15%的款项支付手续, 由社保卡合作银行根据《衢州市社会保障卡居民服务“一卡通”项目协议书》向乙方支付。</w:t>
      </w:r>
      <w:r>
        <w:rPr>
          <w:rFonts w:hint="eastAsia" w:ascii="宋体" w:hAnsi="宋体" w:eastAsia="宋体" w:cs="宋体"/>
          <w:b w:val="0"/>
          <w:bCs/>
          <w:i w:val="0"/>
          <w:iCs w:val="0"/>
          <w:caps w:val="0"/>
          <w:color w:val="000000"/>
          <w:spacing w:val="0"/>
          <w:sz w:val="24"/>
          <w:szCs w:val="24"/>
          <w:shd w:val="clear" w:color="auto" w:fill="FFFFFF"/>
        </w:rPr>
        <w:br w:type="textWrapping"/>
      </w:r>
      <w:r>
        <w:rPr>
          <w:rFonts w:hint="eastAsia" w:ascii="宋体" w:hAnsi="宋体" w:eastAsia="宋体" w:cs="宋体"/>
          <w:b w:val="0"/>
          <w:bCs/>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i w:val="0"/>
          <w:iCs w:val="0"/>
          <w:caps w:val="0"/>
          <w:color w:val="000000"/>
          <w:spacing w:val="0"/>
          <w:sz w:val="24"/>
          <w:szCs w:val="24"/>
          <w:shd w:val="clear" w:color="auto" w:fill="FFFFFF"/>
        </w:rPr>
        <w:t>4、项目免费质保期满结束后，经甲方确认无未处理完毕的质量、服务纠纷时，15个工作日内办理合同总额5%的尾款支付手续。</w:t>
      </w:r>
      <w:r>
        <w:rPr>
          <w:rFonts w:hint="eastAsia" w:ascii="宋体" w:hAnsi="宋体" w:eastAsia="宋体" w:cs="宋体"/>
          <w:b w:val="0"/>
          <w:bCs/>
          <w:i w:val="0"/>
          <w:iCs w:val="0"/>
          <w:caps w:val="0"/>
          <w:color w:val="000000"/>
          <w:spacing w:val="0"/>
          <w:sz w:val="24"/>
          <w:szCs w:val="24"/>
          <w:shd w:val="clear" w:color="auto" w:fill="FFFFFF"/>
        </w:rPr>
        <w:br w:type="textWrapping"/>
      </w:r>
      <w:r>
        <w:rPr>
          <w:rFonts w:hint="eastAsia" w:ascii="宋体" w:hAnsi="宋体" w:eastAsia="宋体" w:cs="宋体"/>
          <w:b w:val="0"/>
          <w:bCs/>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i w:val="0"/>
          <w:iCs w:val="0"/>
          <w:caps w:val="0"/>
          <w:color w:val="000000"/>
          <w:spacing w:val="0"/>
          <w:sz w:val="24"/>
          <w:szCs w:val="24"/>
          <w:shd w:val="clear" w:color="auto" w:fill="FFFFFF"/>
        </w:rPr>
        <w:t>乙方须在支付合同款项前向甲方提供等额有效的合法发票，否则甲方有权拒绝付款，由此造成的一切损失由乙方承担</w:t>
      </w:r>
      <w:r>
        <w:rPr>
          <w:rFonts w:hint="eastAsia" w:ascii="宋体" w:hAnsi="宋体" w:cs="宋体"/>
          <w:color w:val="000000"/>
          <w:sz w:val="24"/>
          <w:szCs w:val="24"/>
        </w:rPr>
        <w:t>。</w:t>
      </w:r>
    </w:p>
    <w:p>
      <w:pPr>
        <w:pStyle w:val="3"/>
        <w:numPr>
          <w:ilvl w:val="1"/>
          <w:numId w:val="2"/>
        </w:numPr>
        <w:spacing w:before="0"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履行期限及</w:t>
      </w:r>
      <w:r>
        <w:rPr>
          <w:rFonts w:hint="eastAsia" w:ascii="宋体" w:hAnsi="宋体" w:eastAsia="宋体" w:cs="宋体"/>
          <w:color w:val="000000"/>
          <w:sz w:val="24"/>
          <w:szCs w:val="24"/>
        </w:rPr>
        <w:t>维保期</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履行期限：签订合同后90天内完成。</w:t>
      </w:r>
    </w:p>
    <w:p>
      <w:pPr>
        <w:spacing w:line="360" w:lineRule="auto"/>
        <w:ind w:firstLine="480" w:firstLineChars="200"/>
      </w:pPr>
      <w:r>
        <w:rPr>
          <w:rFonts w:hint="eastAsia" w:ascii="宋体" w:hAnsi="宋体" w:cs="宋体"/>
          <w:color w:val="000000"/>
          <w:sz w:val="24"/>
          <w:szCs w:val="24"/>
          <w:lang w:val="en-US" w:eastAsia="zh-CN"/>
        </w:rPr>
        <w:t>维保期：</w:t>
      </w:r>
      <w:r>
        <w:rPr>
          <w:rFonts w:hint="eastAsia" w:ascii="宋体" w:hAnsi="宋体" w:cs="宋体"/>
          <w:color w:val="000000"/>
          <w:sz w:val="24"/>
          <w:szCs w:val="24"/>
        </w:rPr>
        <w:t>本项目涉及系统及硬件免费质保期为3年</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自项目验收合格之日起计算</w:t>
      </w:r>
      <w:r>
        <w:rPr>
          <w:rFonts w:hint="eastAsia" w:ascii="宋体" w:hAnsi="宋体" w:cs="宋体"/>
          <w:color w:val="000000"/>
          <w:sz w:val="24"/>
          <w:szCs w:val="24"/>
        </w:rPr>
        <w:t>。项目3年免费质保期过后，后续运维服务</w:t>
      </w:r>
      <w:r>
        <w:rPr>
          <w:rFonts w:hint="eastAsia" w:ascii="宋体" w:hAnsi="宋体" w:cs="宋体"/>
          <w:color w:val="000000"/>
          <w:sz w:val="24"/>
          <w:szCs w:val="24"/>
          <w:lang w:val="en-US" w:eastAsia="zh-CN"/>
        </w:rPr>
        <w:t>费</w:t>
      </w:r>
      <w:r>
        <w:rPr>
          <w:rFonts w:hint="eastAsia" w:ascii="宋体" w:hAnsi="宋体" w:cs="宋体"/>
          <w:color w:val="000000"/>
          <w:sz w:val="24"/>
          <w:szCs w:val="24"/>
        </w:rPr>
        <w:t>按</w:t>
      </w:r>
      <w:r>
        <w:rPr>
          <w:rFonts w:hint="eastAsia" w:ascii="宋体" w:hAnsi="宋体" w:cs="宋体"/>
          <w:color w:val="000000"/>
          <w:sz w:val="24"/>
          <w:szCs w:val="24"/>
          <w:lang w:val="en-US" w:eastAsia="zh-CN"/>
        </w:rPr>
        <w:t>每年不超过8</w:t>
      </w:r>
      <w:r>
        <w:rPr>
          <w:rFonts w:hint="eastAsia" w:ascii="宋体" w:hAnsi="宋体" w:cs="宋体"/>
          <w:color w:val="000000"/>
          <w:sz w:val="24"/>
          <w:szCs w:val="24"/>
        </w:rPr>
        <w:t>%收取。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426AB"/>
    <w:multiLevelType w:val="multilevel"/>
    <w:tmpl w:val="1F9426A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A4B709A"/>
    <w:multiLevelType w:val="multilevel"/>
    <w:tmpl w:val="4A4B709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TBiYzZiMjAwMzBhMzM2NGY3ZTAyMjUyZDEyNWEifQ=="/>
  </w:docVars>
  <w:rsids>
    <w:rsidRoot w:val="12C50F44"/>
    <w:rsid w:val="12C5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rFonts w:ascii="Verdana" w:hAnsi="Verdana"/>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next w:val="1"/>
    <w:qFormat/>
    <w:uiPriority w:val="99"/>
    <w:pPr>
      <w:spacing w:beforeLines="50" w:afterLines="50" w:line="400" w:lineRule="atLeast"/>
    </w:pPr>
    <w:rPr>
      <w:rFonts w:ascii="宋体" w:hAnsi="Courier New"/>
      <w:sz w:val="24"/>
    </w:rPr>
  </w:style>
  <w:style w:type="paragraph" w:customStyle="1" w:styleId="7">
    <w:name w:val="Red Tag"/>
    <w:next w:val="8"/>
    <w:qFormat/>
    <w:uiPriority w:val="0"/>
    <w:pPr>
      <w:spacing w:line="360" w:lineRule="auto"/>
      <w:jc w:val="center"/>
    </w:pPr>
    <w:rPr>
      <w:rFonts w:hint="eastAsia" w:ascii="Arial Unicode MS" w:hAnsi="Arial Unicode MS" w:eastAsia="宋体" w:cs="Arial Unicode MS"/>
      <w:color w:val="FF2318"/>
      <w:kern w:val="2"/>
      <w:sz w:val="24"/>
      <w:szCs w:val="24"/>
      <w:lang w:val="zh-TW" w:eastAsia="zh-TW" w:bidi="ar-SA"/>
    </w:rPr>
  </w:style>
  <w:style w:type="paragraph" w:customStyle="1" w:styleId="8">
    <w:name w:val="Default A"/>
    <w:qFormat/>
    <w:uiPriority w:val="0"/>
    <w:pPr>
      <w:widowControl w:val="0"/>
      <w:spacing w:line="360" w:lineRule="auto"/>
      <w:jc w:val="both"/>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2022-10-21T09:16:00Z</dcterms:created>
  <dc:creator>vicy_YY</dc:creator>
  <cp:lastModifiedBy>vicy_YY</cp:lastModifiedBy>
  <dcterms:modified xsi:type="dcterms:W3CDTF">2022-10-21T09:16:24Z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82CC2C14369F425B825C336A7004D5D7</vt:lpwstr>
  </property>
</Properties>
</file>