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若通过邮箱获取招标文件的，需将获取招标文件应提供的资料按要求加盖公章扫描件发送至3636634934@qq.com,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0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32D45D57"/>
    <w:rsid w:val="3CC209C2"/>
    <w:rsid w:val="41955E04"/>
    <w:rsid w:val="4CD91DD3"/>
    <w:rsid w:val="5BD840FA"/>
    <w:rsid w:val="753F5076"/>
    <w:rsid w:val="FEEF0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508</Characters>
  <Lines>0</Lines>
  <Paragraphs>0</Paragraphs>
  <TotalTime>0</TotalTime>
  <ScaleCrop>false</ScaleCrop>
  <LinksUpToDate>false</LinksUpToDate>
  <CharactersWithSpaces>1160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张丸子</cp:lastModifiedBy>
  <cp:lastPrinted>2021-01-28T21:26:00Z</cp:lastPrinted>
  <dcterms:modified xsi:type="dcterms:W3CDTF">2022-11-29T18:38:57Z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020E91F94BE7051C41E185637950E838</vt:lpwstr>
  </property>
</Properties>
</file>