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hint="eastAsia" w:ascii="仿宋" w:hAnsi="仿宋" w:eastAsia="仿宋" w:cs="仿宋"/>
          <w:b/>
          <w:bCs/>
          <w:i w:val="0"/>
          <w:iCs w:val="0"/>
          <w:color w:val="auto"/>
          <w:sz w:val="36"/>
          <w:szCs w:val="36"/>
          <w:highlight w:val="none"/>
          <w:lang w:eastAsia="zh-CN"/>
        </w:rPr>
      </w:pPr>
      <w:r>
        <w:rPr>
          <w:rFonts w:hint="eastAsia" w:ascii="仿宋" w:hAnsi="仿宋" w:eastAsia="仿宋" w:cs="仿宋"/>
          <w:b/>
          <w:bCs/>
          <w:i w:val="0"/>
          <w:iCs w:val="0"/>
          <w:color w:val="auto"/>
          <w:sz w:val="36"/>
          <w:szCs w:val="36"/>
          <w:highlight w:val="none"/>
          <w:lang w:eastAsia="zh-CN"/>
        </w:rPr>
        <w:t>衢州市城乡公共交通有限公司车辆保险服务采购</w:t>
      </w:r>
    </w:p>
    <w:p>
      <w:pPr>
        <w:pStyle w:val="7"/>
        <w:jc w:val="center"/>
        <w:outlineLvl w:val="0"/>
        <w:rPr>
          <w:rFonts w:hint="eastAsia" w:ascii="仿宋" w:hAnsi="仿宋" w:eastAsia="仿宋" w:cs="仿宋"/>
          <w:i w:val="0"/>
          <w:iCs w:val="0"/>
          <w:color w:val="auto"/>
          <w:sz w:val="36"/>
          <w:szCs w:val="36"/>
          <w:highlight w:val="none"/>
        </w:rPr>
      </w:pPr>
      <w:r>
        <w:rPr>
          <w:rFonts w:hint="eastAsia" w:ascii="仿宋" w:hAnsi="仿宋" w:eastAsia="仿宋" w:cs="仿宋"/>
          <w:b/>
          <w:bCs/>
          <w:i w:val="0"/>
          <w:iCs w:val="0"/>
          <w:color w:val="auto"/>
          <w:sz w:val="36"/>
          <w:szCs w:val="36"/>
          <w:highlight w:val="none"/>
          <w:lang w:eastAsia="zh-CN"/>
        </w:rPr>
        <w:t>项目</w:t>
      </w:r>
      <w:r>
        <w:rPr>
          <w:rFonts w:hint="eastAsia" w:ascii="仿宋" w:hAnsi="仿宋" w:eastAsia="仿宋" w:cs="仿宋"/>
          <w:b/>
          <w:i w:val="0"/>
          <w:iCs w:val="0"/>
          <w:color w:val="auto"/>
          <w:sz w:val="36"/>
          <w:szCs w:val="36"/>
          <w:highlight w:val="none"/>
        </w:rPr>
        <w:t>采购内容及要求</w:t>
      </w:r>
    </w:p>
    <w:p>
      <w:pPr>
        <w:numPr>
          <w:ilvl w:val="0"/>
          <w:numId w:val="0"/>
        </w:numPr>
        <w:spacing w:line="480" w:lineRule="auto"/>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一、险种</w:t>
      </w:r>
      <w:bookmarkStart w:id="0" w:name="_GoBack"/>
      <w:bookmarkEnd w:id="0"/>
    </w:p>
    <w:tbl>
      <w:tblPr>
        <w:tblStyle w:val="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082"/>
        <w:gridCol w:w="2441"/>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8"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082"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险种</w:t>
            </w:r>
          </w:p>
        </w:tc>
        <w:tc>
          <w:tcPr>
            <w:tcW w:w="2441"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险别</w:t>
            </w:r>
          </w:p>
        </w:tc>
        <w:tc>
          <w:tcPr>
            <w:tcW w:w="3026"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18"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82"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机动车交通事故责任强制保险</w:t>
            </w:r>
          </w:p>
        </w:tc>
        <w:tc>
          <w:tcPr>
            <w:tcW w:w="2441" w:type="dxa"/>
            <w:noWrap w:val="0"/>
            <w:vAlign w:val="center"/>
          </w:tcPr>
          <w:p>
            <w:pPr>
              <w:pStyle w:val="11"/>
              <w:adjustRightInd w:val="0"/>
              <w:spacing w:after="0" w:afterLines="0"/>
              <w:ind w:firstLine="0" w:firstLineChars="0"/>
              <w:outlineLvl w:val="1"/>
              <w:rPr>
                <w:rFonts w:hint="eastAsia" w:ascii="仿宋" w:hAnsi="仿宋" w:eastAsia="仿宋" w:cs="仿宋"/>
                <w:color w:val="auto"/>
                <w:sz w:val="24"/>
                <w:szCs w:val="24"/>
                <w:highlight w:val="none"/>
              </w:rPr>
            </w:pPr>
          </w:p>
        </w:tc>
        <w:tc>
          <w:tcPr>
            <w:tcW w:w="3026" w:type="dxa"/>
            <w:noWrap w:val="0"/>
            <w:vAlign w:val="center"/>
          </w:tcPr>
          <w:p>
            <w:pPr>
              <w:pStyle w:val="11"/>
              <w:adjustRightInd w:val="0"/>
              <w:spacing w:after="0" w:afterLines="0" w:line="240" w:lineRule="exact"/>
              <w:ind w:firstLine="0" w:firstLineChars="0"/>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根据保监发【2006】19号文件《关于进一步加强机动车辆保险监管有关问题的通知》和《机动车交通事故责任强制保险费率浮动暂行办法》执行</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8" w:type="dxa"/>
            <w:vMerge w:val="restart"/>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082" w:type="dxa"/>
            <w:vMerge w:val="restart"/>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商业险</w:t>
            </w:r>
          </w:p>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(优惠率按最高优惠率执行)</w:t>
            </w:r>
          </w:p>
        </w:tc>
        <w:tc>
          <w:tcPr>
            <w:tcW w:w="2441"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车辆损失险</w:t>
            </w:r>
          </w:p>
        </w:tc>
        <w:tc>
          <w:tcPr>
            <w:tcW w:w="3026" w:type="dxa"/>
            <w:noWrap w:val="0"/>
            <w:vAlign w:val="center"/>
          </w:tcPr>
          <w:p>
            <w:pPr>
              <w:pStyle w:val="11"/>
              <w:adjustRightInd w:val="0"/>
              <w:spacing w:after="0" w:afterLines="0" w:line="240" w:lineRule="exact"/>
              <w:ind w:firstLine="0" w:firstLineChars="0"/>
              <w:jc w:val="left"/>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采购人可自主选择。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18" w:type="dxa"/>
            <w:vMerge w:val="continue"/>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p>
        </w:tc>
        <w:tc>
          <w:tcPr>
            <w:tcW w:w="3082" w:type="dxa"/>
            <w:vMerge w:val="continue"/>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p>
        </w:tc>
        <w:tc>
          <w:tcPr>
            <w:tcW w:w="2441"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车辆第三者责任保险</w:t>
            </w:r>
          </w:p>
        </w:tc>
        <w:tc>
          <w:tcPr>
            <w:tcW w:w="3026" w:type="dxa"/>
            <w:noWrap w:val="0"/>
            <w:vAlign w:val="center"/>
          </w:tcPr>
          <w:p>
            <w:pPr>
              <w:pStyle w:val="11"/>
              <w:adjustRightInd w:val="0"/>
              <w:spacing w:after="0" w:afterLines="0" w:line="240" w:lineRule="exact"/>
              <w:ind w:firstLine="0" w:firstLineChars="0"/>
              <w:jc w:val="left"/>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暂定</w:t>
            </w:r>
            <w:r>
              <w:rPr>
                <w:rFonts w:hint="eastAsia" w:ascii="仿宋" w:hAnsi="仿宋" w:eastAsia="仿宋" w:cs="仿宋"/>
                <w:color w:val="auto"/>
                <w:sz w:val="24"/>
                <w:szCs w:val="24"/>
                <w:highlight w:val="none"/>
              </w:rPr>
              <w:t>保额</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0万元/辆。</w:t>
            </w:r>
          </w:p>
          <w:p>
            <w:pPr>
              <w:pStyle w:val="11"/>
              <w:adjustRightInd w:val="0"/>
              <w:spacing w:after="0" w:afterLines="0" w:line="240" w:lineRule="exact"/>
              <w:ind w:firstLine="0" w:firstLineChars="0"/>
              <w:jc w:val="left"/>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采购人可自主选择</w:t>
            </w:r>
            <w:r>
              <w:rPr>
                <w:rFonts w:hint="eastAsia" w:ascii="仿宋" w:hAnsi="仿宋" w:eastAsia="仿宋" w:cs="仿宋"/>
                <w:color w:val="auto"/>
                <w:sz w:val="24"/>
                <w:szCs w:val="24"/>
                <w:highlight w:val="none"/>
                <w:lang w:val="en-US" w:eastAsia="zh-CN"/>
              </w:rPr>
              <w:t>保额</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18"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082"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商业非车险</w:t>
            </w:r>
          </w:p>
        </w:tc>
        <w:tc>
          <w:tcPr>
            <w:tcW w:w="2441" w:type="dxa"/>
            <w:noWrap w:val="0"/>
            <w:vAlign w:val="center"/>
          </w:tcPr>
          <w:p>
            <w:pPr>
              <w:pStyle w:val="11"/>
              <w:adjustRightInd w:val="0"/>
              <w:spacing w:after="0" w:afterLines="0"/>
              <w:ind w:firstLine="0" w:firstLineChars="0"/>
              <w:jc w:val="center"/>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承运人责任险</w:t>
            </w:r>
          </w:p>
        </w:tc>
        <w:tc>
          <w:tcPr>
            <w:tcW w:w="3026" w:type="dxa"/>
            <w:noWrap w:val="0"/>
            <w:vAlign w:val="center"/>
          </w:tcPr>
          <w:p>
            <w:pPr>
              <w:pStyle w:val="11"/>
              <w:adjustRightInd w:val="0"/>
              <w:spacing w:after="0" w:afterLines="0" w:line="240" w:lineRule="exact"/>
              <w:ind w:firstLine="0" w:firstLineChars="0"/>
              <w:jc w:val="left"/>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每座每次保额100万元/座，核载理赔。</w:t>
            </w:r>
          </w:p>
        </w:tc>
      </w:tr>
    </w:tbl>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服务要求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（一）承保服务</w:t>
      </w:r>
      <w:r>
        <w:rPr>
          <w:rFonts w:hint="eastAsia" w:ascii="仿宋" w:hAnsi="仿宋" w:eastAsia="仿宋" w:cs="仿宋"/>
          <w:b/>
          <w:bCs/>
          <w:color w:val="auto"/>
          <w:sz w:val="28"/>
          <w:szCs w:val="28"/>
          <w:highlight w:val="none"/>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1.针对本项目成立健全的专门服务小组，分工明确（应有具体成员名单，包括姓名、职务、职称、工作职责、联系方式等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服务期限内，如项目组成员有变动，中标人应在三个工作日内书面通知采购人</w:t>
      </w:r>
      <w:r>
        <w:rPr>
          <w:rFonts w:hint="eastAsia" w:ascii="仿宋" w:hAnsi="仿宋" w:eastAsia="仿宋" w:cs="仿宋"/>
          <w:color w:val="auto"/>
          <w:sz w:val="28"/>
          <w:szCs w:val="28"/>
          <w:highlight w:val="none"/>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2.“VIP”客户绿色通道服务。为采购人建立保险车辆档案，在内部业务处理系统加注采购人最高级别“VIP”客户。</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3.服务小组工作成员能保证随叫随到，主动上门办理承保、投保、退保手续，保证采购人获得优先服务的权利。</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4.设有24小时热线客户咨询服务、投诉举报电话，有专人接听、记录、受理。并有切实可行的服务保障措施。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（二）理赔服务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1.针对本项目成立专门的理赔服务小组，应有具体成员名单，包括姓名、职务、职称、工作职责、联系方式等。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2.设有24小时报案、理赔服务电话，并设专人受理索赔接待、报案。有充足的现场勘查人员和车辆。</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在接到采购人的出险报案后，市区范围内的理赔人员应于0.5小时内赶到现场，市郊1小时内赶到现场，偏远乡镇1.5小时内赶到现场。超过该时限，视为</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已到达现场，事故车可自行移位，</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认可采购人留存的现场资料及处理事故的相关材料，并能够以此为依据进行全额赔付。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4.投保车辆出险后，</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须根据采购人的要求提供全程上门服务：包括到全国各地帮助理赔及参与交警及法院调解处理，相关费用由</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负责。</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5.投保车辆出险后，</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依据交警部门事故责任认定书5天内垫付预计赔款的50％以上；重大的保险责任事故，一时无法确定损失的，</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在采购人的要求下，可根据有关证明资料确定最低数额预先支付50％的保险赔款，待最终确定赔偿金额后，支付相应差额。</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6.采购人车辆出险未造成人员伤亡的，车辆损失按照交警部门出具的认定书由</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在其保险责任范围内进行全额理赔。无论拆检、定损皆可在采购人自行选择的具备合格资质的修理厂（含4S店）内进行，无需通过</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指定的拆检中心、修理厂。车损应按照“实事求是”的原则按实评估。如发生异议时，由第三方评估机构进行评估，评估费用由</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承担。</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7.投保车辆发生交通事故后，如采购人遇特殊情况，而现场理赔人员无权做出最终答复时，</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项目经理、理赔主管等人员须及时到达事故现场进行处理，做出答复，以保证事故尽快完结,</w:t>
      </w:r>
      <w:r>
        <w:rPr>
          <w:rFonts w:hint="eastAsia" w:ascii="仿宋" w:hAnsi="仿宋" w:eastAsia="仿宋" w:cs="仿宋"/>
          <w:color w:val="auto"/>
          <w:sz w:val="28"/>
          <w:szCs w:val="28"/>
          <w:highlight w:val="none"/>
        </w:rPr>
        <w:t>若因</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无法及时到达现场处理答复而造成采购人损失的，该损失全部由</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承担。</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8.投保车辆发生事故后，公安部门为保障道路交通畅通等原因造成事故无现场，</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应按公安部门留存的现场资料责任内全额赔付。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rPr>
        <w:t>9.</w:t>
      </w:r>
      <w:r>
        <w:rPr>
          <w:rFonts w:hint="eastAsia" w:ascii="仿宋" w:hAnsi="仿宋" w:eastAsia="仿宋" w:cs="仿宋"/>
          <w:b/>
          <w:bCs/>
          <w:color w:val="auto"/>
          <w:sz w:val="28"/>
          <w:szCs w:val="28"/>
          <w:highlight w:val="none"/>
        </w:rPr>
        <w:t>对于非道路交通事故，如停车场内等发生的事故，造成车辆或其他物品的损失由采购人安全部门出具事故证明，造成人员伤亡的由公安部门出具事故证明，</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应予认可并按保险责任予以赔付。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10.当保险车辆发生单方事故或采购人车辆发生互碰事故时，不需现场查勘及交警证明，由采购人安全部门出具事故证明，</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依据现场照片资料及修理发票在其保险责任范围内进行全额理赔。</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11.承运人责任险人身伤亡不设免赔，驾驶员、跟车驾驶员等采购人的雇员、代理人等保险责任、保额同乘客一致。</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12.为进一步减少采购人发生责任事故的经济损失，顺畅理赔，</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应对采购人的所有人伤案件予以三方调解处理服务，并按调解结果进行及时理赔。</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13.人身伤害赔偿按司法解释，</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一审</w:t>
      </w:r>
      <w:r>
        <w:rPr>
          <w:rFonts w:hint="eastAsia" w:ascii="仿宋" w:hAnsi="仿宋" w:eastAsia="仿宋" w:cs="仿宋"/>
          <w:color w:val="auto"/>
          <w:sz w:val="28"/>
          <w:szCs w:val="28"/>
          <w:highlight w:val="none"/>
        </w:rPr>
        <w:t>法庭</w:t>
      </w:r>
      <w:r>
        <w:rPr>
          <w:rFonts w:hint="eastAsia" w:ascii="仿宋" w:hAnsi="仿宋" w:eastAsia="仿宋" w:cs="仿宋"/>
          <w:color w:val="auto"/>
          <w:sz w:val="28"/>
          <w:szCs w:val="28"/>
          <w:highlight w:val="none"/>
          <w:lang w:val="en-US" w:eastAsia="zh-CN"/>
        </w:rPr>
        <w:t>辩论</w:t>
      </w:r>
      <w:r>
        <w:rPr>
          <w:rFonts w:hint="eastAsia" w:ascii="仿宋" w:hAnsi="仿宋" w:eastAsia="仿宋" w:cs="仿宋"/>
          <w:color w:val="auto"/>
          <w:sz w:val="28"/>
          <w:szCs w:val="28"/>
          <w:highlight w:val="none"/>
        </w:rPr>
        <w:t>终结时当地</w:t>
      </w:r>
      <w:r>
        <w:rPr>
          <w:rFonts w:hint="eastAsia" w:ascii="仿宋" w:hAnsi="仿宋" w:eastAsia="仿宋" w:cs="仿宋"/>
          <w:color w:val="auto"/>
          <w:sz w:val="28"/>
          <w:szCs w:val="28"/>
          <w:highlight w:val="none"/>
          <w:lang w:val="en-US" w:eastAsia="zh-CN"/>
        </w:rPr>
        <w:t>上一统计年度的</w:t>
      </w:r>
      <w:r>
        <w:rPr>
          <w:rFonts w:hint="eastAsia" w:ascii="仿宋" w:hAnsi="仿宋" w:eastAsia="仿宋" w:cs="仿宋"/>
          <w:color w:val="auto"/>
          <w:sz w:val="28"/>
          <w:szCs w:val="28"/>
          <w:highlight w:val="none"/>
        </w:rPr>
        <w:t>赔偿标准赔付；</w:t>
      </w:r>
      <w:r>
        <w:rPr>
          <w:rFonts w:hint="eastAsia" w:ascii="仿宋" w:hAnsi="仿宋" w:eastAsia="仿宋" w:cs="仿宋"/>
          <w:color w:val="auto"/>
          <w:sz w:val="28"/>
          <w:szCs w:val="28"/>
          <w:highlight w:val="none"/>
        </w:rPr>
        <w:t>对于人伤案件中法律判决所赔付的医疗费、误工费、护理费、死亡伤残赔偿金、规定的扶养费、营养费、财物损失费等。应由</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承担的</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应予以全额赔付。该条同时适用商业险和承运人责任险。</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（三）业务管理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每月向采购人报送《车辆保险情况统计表》和《车辆出险理赔情况统计表》，并承诺统计填报的数据准确、完整，无隐瞒。</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2.应对投保车辆建立用户档案，实行专户管理，开展跟踪服务。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3.应对采购人提供出险索赔程序、保险知识等方面的咨询服务。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（四）保费核收</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703" w:firstLineChars="25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Cs/>
          <w:color w:val="auto"/>
          <w:sz w:val="28"/>
          <w:szCs w:val="28"/>
          <w:highlight w:val="none"/>
        </w:rPr>
        <w:t>根据银保监相关规定</w:t>
      </w:r>
      <w:r>
        <w:rPr>
          <w:rFonts w:hint="eastAsia" w:ascii="仿宋" w:hAnsi="仿宋" w:eastAsia="仿宋" w:cs="仿宋"/>
          <w:color w:val="auto"/>
          <w:sz w:val="28"/>
          <w:szCs w:val="28"/>
          <w:highlight w:val="none"/>
        </w:rPr>
        <w:t>，在国家政策允许的范围内给予采购人车辆保险最大的优惠。</w:t>
      </w:r>
    </w:p>
    <w:p>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w:t>
      </w:r>
      <w:r>
        <w:rPr>
          <w:rFonts w:hint="eastAsia" w:ascii="仿宋" w:hAnsi="仿宋" w:eastAsia="仿宋" w:cs="仿宋"/>
          <w:b/>
          <w:bCs/>
          <w:color w:val="auto"/>
          <w:sz w:val="28"/>
          <w:szCs w:val="28"/>
          <w:highlight w:val="none"/>
          <w:lang w:val="en-US" w:eastAsia="zh-CN"/>
        </w:rPr>
        <w:t>服务</w:t>
      </w:r>
      <w:r>
        <w:rPr>
          <w:rFonts w:hint="eastAsia" w:ascii="仿宋" w:hAnsi="仿宋" w:eastAsia="仿宋" w:cs="仿宋"/>
          <w:b/>
          <w:bCs/>
          <w:color w:val="auto"/>
          <w:sz w:val="28"/>
          <w:szCs w:val="28"/>
          <w:highlight w:val="none"/>
        </w:rPr>
        <w:t>期限</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服务期限两年，自2023年4月21日起至2025年4月20日。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合同一年一签，合同签订后，采购人每三个月进行一次考核，每次考核中标人得分均为95分及以上的，可续签下年度的合同，得分为95分以下的，采购人将终止续签下一年合同。</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（六）其他要求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不得限制出险次数。</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协助采购人做好对投保经办人的廉政工作，不得以任何形式向采购人提供回扣。</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3.提供法律援助无偿服务，如产生与第三方的诉讼，采购人可提出法律援助要求，</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根据案情提供相关法律咨询及法律援助服务。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4.其他优惠承诺及特色服务增值服务项目，在</w:t>
      </w:r>
      <w:r>
        <w:rPr>
          <w:rFonts w:hint="eastAsia" w:ascii="仿宋" w:hAnsi="仿宋" w:eastAsia="仿宋" w:cs="仿宋"/>
          <w:color w:val="auto"/>
          <w:sz w:val="28"/>
          <w:szCs w:val="28"/>
          <w:highlight w:val="none"/>
          <w:lang w:val="en-US" w:eastAsia="zh-CN"/>
        </w:rPr>
        <w:t>增值服务</w:t>
      </w:r>
      <w:r>
        <w:rPr>
          <w:rFonts w:hint="eastAsia" w:ascii="仿宋" w:hAnsi="仿宋" w:eastAsia="仿宋" w:cs="仿宋"/>
          <w:color w:val="auto"/>
          <w:sz w:val="28"/>
          <w:szCs w:val="28"/>
          <w:highlight w:val="none"/>
        </w:rPr>
        <w:t>中也予申明。</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5.因</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未书面提醒或未按期送保上门，造成的脱保、漏保，由此造成采购人因事故未能获得保险理赔等损失的，</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应予以全额赔偿。</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6.本标文中未明确部分，</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必须严格按保监会及行业主管部门的相关规定执行。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参加投标所做的承诺及保费的计算报价必须符合保险行为的相关法律法规，若有违反，则由</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自行负责。</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8.</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必须给采购人提供国家正规保单或国家正规电子保单。如不提供，由此造成的一切后果及经济损失由</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承担。</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9.如</w:t>
      </w:r>
      <w:r>
        <w:rPr>
          <w:rFonts w:hint="eastAsia" w:ascii="仿宋" w:hAnsi="仿宋" w:eastAsia="仿宋" w:cs="仿宋"/>
          <w:b/>
          <w:bCs/>
          <w:color w:val="auto"/>
          <w:sz w:val="28"/>
          <w:szCs w:val="28"/>
          <w:highlight w:val="none"/>
          <w:lang w:eastAsia="zh-CN"/>
        </w:rPr>
        <w:t>采购人</w:t>
      </w:r>
      <w:r>
        <w:rPr>
          <w:rFonts w:hint="eastAsia" w:ascii="仿宋" w:hAnsi="仿宋" w:eastAsia="仿宋" w:cs="仿宋"/>
          <w:b/>
          <w:bCs/>
          <w:color w:val="auto"/>
          <w:sz w:val="28"/>
          <w:szCs w:val="28"/>
          <w:highlight w:val="none"/>
        </w:rPr>
        <w:t>有代位追偿的需求，中标</w:t>
      </w:r>
      <w:r>
        <w:rPr>
          <w:rFonts w:hint="eastAsia" w:ascii="仿宋" w:hAnsi="仿宋" w:eastAsia="仿宋" w:cs="仿宋"/>
          <w:b/>
          <w:bCs/>
          <w:color w:val="auto"/>
          <w:sz w:val="28"/>
          <w:szCs w:val="28"/>
          <w:highlight w:val="none"/>
          <w:lang w:val="en-US" w:eastAsia="zh-CN"/>
        </w:rPr>
        <w:t>人</w:t>
      </w:r>
      <w:r>
        <w:rPr>
          <w:rFonts w:hint="eastAsia" w:ascii="仿宋" w:hAnsi="仿宋" w:eastAsia="仿宋" w:cs="仿宋"/>
          <w:b/>
          <w:bCs/>
          <w:color w:val="auto"/>
          <w:sz w:val="28"/>
          <w:szCs w:val="28"/>
          <w:highlight w:val="none"/>
        </w:rPr>
        <w:t>需积极配合，履行此项责任。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（七）付款方式</w:t>
      </w:r>
    </w:p>
    <w:p>
      <w:pPr>
        <w:pStyle w:val="3"/>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(一)以非现金方式支付，并执行浙江省保险行业协会2008年5月20日出台的“见费出单”制度。</w:t>
      </w:r>
    </w:p>
    <w:p>
      <w:pPr>
        <w:pStyle w:val="12"/>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551" w:firstLineChars="196"/>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eastAsia="zh-CN"/>
        </w:rPr>
        <w:t>中标人</w:t>
      </w:r>
      <w:r>
        <w:rPr>
          <w:rFonts w:hint="eastAsia" w:ascii="仿宋" w:hAnsi="仿宋" w:eastAsia="仿宋" w:cs="仿宋"/>
          <w:b/>
          <w:bCs/>
          <w:color w:val="auto"/>
          <w:sz w:val="28"/>
          <w:szCs w:val="28"/>
          <w:highlight w:val="none"/>
        </w:rPr>
        <w:t>应向采购人出具合法有效的完税</w:t>
      </w:r>
      <w:r>
        <w:rPr>
          <w:rFonts w:hint="eastAsia" w:ascii="仿宋" w:hAnsi="仿宋" w:eastAsia="仿宋" w:cs="仿宋"/>
          <w:b/>
          <w:bCs/>
          <w:color w:val="auto"/>
          <w:sz w:val="28"/>
          <w:szCs w:val="28"/>
          <w:highlight w:val="none"/>
          <w:lang w:val="en-US" w:eastAsia="zh-CN"/>
        </w:rPr>
        <w:t>增值税专用发票</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jc w:val="left"/>
        <w:rPr>
          <w:rFonts w:hint="eastAsia" w:ascii="仿宋" w:hAnsi="仿宋" w:eastAsia="仿宋" w:cs="仿宋"/>
          <w:color w:val="auto"/>
          <w:highlight w:val="none"/>
        </w:rPr>
      </w:pPr>
      <w:r>
        <w:rPr>
          <w:rFonts w:hint="eastAsia" w:ascii="仿宋" w:hAnsi="仿宋" w:eastAsia="仿宋" w:cs="仿宋"/>
          <w:b/>
          <w:color w:val="auto"/>
          <w:sz w:val="28"/>
          <w:szCs w:val="28"/>
          <w:highlight w:val="none"/>
        </w:rPr>
        <w:t>附件：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保险服务考核表</w:t>
      </w:r>
    </w:p>
    <w:p>
      <w:pPr>
        <w:spacing w:line="360" w:lineRule="auto"/>
        <w:rPr>
          <w:rFonts w:hint="eastAsia" w:ascii="仿宋" w:hAnsi="仿宋" w:eastAsia="仿宋" w:cs="仿宋"/>
          <w:color w:val="auto"/>
          <w:sz w:val="22"/>
          <w:szCs w:val="22"/>
          <w:highlight w:val="none"/>
        </w:rPr>
      </w:pPr>
    </w:p>
    <w:p>
      <w:pPr>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考核单位：                   考核季度：       考核得分：</w:t>
      </w:r>
    </w:p>
    <w:tbl>
      <w:tblPr>
        <w:tblStyle w:val="5"/>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4732"/>
        <w:gridCol w:w="1513"/>
        <w:gridCol w:w="120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4732"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考核内容</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扣分标准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考核扣分</w:t>
            </w: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snapToGrid w:val="0"/>
                <w:color w:val="auto"/>
                <w:spacing w:val="6"/>
                <w:kern w:val="0"/>
                <w:sz w:val="22"/>
                <w:szCs w:val="22"/>
                <w:highlight w:val="none"/>
              </w:rPr>
              <w:t>保险到期车辆未核对，未主动联系沟通，导致被保险人车辆脱保或保费出错的。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每车扣2分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snapToGrid w:val="0"/>
                <w:color w:val="auto"/>
                <w:spacing w:val="6"/>
                <w:kern w:val="0"/>
                <w:sz w:val="22"/>
                <w:szCs w:val="22"/>
                <w:highlight w:val="none"/>
              </w:rPr>
              <w:t>接到事故报案后，没有按协议规定时间赶赴现场或进行定损的。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每次扣2分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snapToGrid w:val="0"/>
                <w:color w:val="auto"/>
                <w:spacing w:val="6"/>
                <w:kern w:val="0"/>
                <w:sz w:val="22"/>
                <w:szCs w:val="22"/>
                <w:highlight w:val="none"/>
              </w:rPr>
              <w:t>定损过程中更换材料和单价与物价局、实际修理存在差距，未能协商一致的。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每车扣2分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snapToGrid w:val="0"/>
                <w:color w:val="auto"/>
                <w:spacing w:val="6"/>
                <w:kern w:val="0"/>
                <w:sz w:val="22"/>
                <w:szCs w:val="22"/>
                <w:highlight w:val="none"/>
              </w:rPr>
              <w:t>收到理赔资料后，未按协议规定及时赔付的。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每次扣2分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snapToGrid w:val="0"/>
                <w:color w:val="auto"/>
                <w:spacing w:val="6"/>
                <w:kern w:val="0"/>
                <w:sz w:val="22"/>
                <w:szCs w:val="22"/>
                <w:highlight w:val="none"/>
              </w:rPr>
              <w:t>赔付金额不足，未按照相关法律、法规和双方协议规定赔付的。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-5分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snapToGrid w:val="0"/>
                <w:color w:val="auto"/>
                <w:spacing w:val="6"/>
                <w:kern w:val="0"/>
                <w:sz w:val="22"/>
                <w:szCs w:val="22"/>
                <w:highlight w:val="none"/>
              </w:rPr>
              <w:t>事故理赔资料缺失致影响理赔的。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-5分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lang w:eastAsia="zh-CN"/>
              </w:rPr>
            </w:pPr>
            <w:r>
              <w:rPr>
                <w:rFonts w:hint="eastAsia" w:ascii="仿宋" w:hAnsi="仿宋" w:eastAsia="仿宋" w:cs="仿宋"/>
                <w:snapToGrid w:val="0"/>
                <w:color w:val="auto"/>
                <w:spacing w:val="6"/>
                <w:kern w:val="0"/>
                <w:sz w:val="22"/>
                <w:szCs w:val="22"/>
                <w:highlight w:val="none"/>
              </w:rPr>
              <w:t>投标服务承诺内容执行不到位的</w:t>
            </w:r>
            <w:r>
              <w:rPr>
                <w:rFonts w:hint="eastAsia" w:ascii="仿宋" w:hAnsi="仿宋" w:eastAsia="仿宋" w:cs="仿宋"/>
                <w:snapToGrid w:val="0"/>
                <w:color w:val="auto"/>
                <w:spacing w:val="6"/>
                <w:kern w:val="0"/>
                <w:sz w:val="22"/>
                <w:szCs w:val="22"/>
                <w:highlight w:val="none"/>
                <w:lang w:eastAsia="zh-CN"/>
              </w:rPr>
              <w:t>（</w:t>
            </w:r>
            <w:r>
              <w:rPr>
                <w:rFonts w:hint="eastAsia" w:ascii="仿宋" w:hAnsi="仿宋" w:eastAsia="仿宋" w:cs="仿宋"/>
                <w:snapToGrid w:val="0"/>
                <w:color w:val="auto"/>
                <w:spacing w:val="6"/>
                <w:kern w:val="0"/>
                <w:sz w:val="22"/>
                <w:szCs w:val="22"/>
                <w:highlight w:val="none"/>
                <w:lang w:val="en-US" w:eastAsia="zh-CN"/>
              </w:rPr>
              <w:t>如未提供</w:t>
            </w:r>
            <w:r>
              <w:rPr>
                <w:rFonts w:hint="eastAsia" w:ascii="仿宋" w:hAnsi="仿宋" w:eastAsia="仿宋" w:cs="仿宋"/>
                <w:snapToGrid w:val="0"/>
                <w:color w:val="auto"/>
                <w:spacing w:val="6"/>
                <w:kern w:val="0"/>
                <w:sz w:val="22"/>
                <w:szCs w:val="22"/>
                <w:highlight w:val="none"/>
              </w:rPr>
              <w:t>《车辆保险情况统计表》</w:t>
            </w:r>
            <w:r>
              <w:rPr>
                <w:rFonts w:hint="eastAsia" w:ascii="仿宋" w:hAnsi="仿宋" w:eastAsia="仿宋" w:cs="仿宋"/>
                <w:snapToGrid w:val="0"/>
                <w:color w:val="auto"/>
                <w:spacing w:val="6"/>
                <w:kern w:val="0"/>
                <w:sz w:val="22"/>
                <w:szCs w:val="22"/>
                <w:highlight w:val="none"/>
                <w:lang w:eastAsia="zh-CN"/>
              </w:rPr>
              <w:t>、</w:t>
            </w:r>
            <w:r>
              <w:rPr>
                <w:rFonts w:hint="eastAsia" w:ascii="仿宋" w:hAnsi="仿宋" w:eastAsia="仿宋" w:cs="仿宋"/>
                <w:snapToGrid w:val="0"/>
                <w:color w:val="auto"/>
                <w:spacing w:val="6"/>
                <w:kern w:val="0"/>
                <w:sz w:val="22"/>
                <w:szCs w:val="22"/>
                <w:highlight w:val="none"/>
              </w:rPr>
              <w:t>《车辆出险理赔情况统计表》</w:t>
            </w:r>
            <w:r>
              <w:rPr>
                <w:rFonts w:hint="eastAsia" w:ascii="仿宋" w:hAnsi="仿宋" w:eastAsia="仿宋" w:cs="仿宋"/>
                <w:snapToGrid w:val="0"/>
                <w:color w:val="auto"/>
                <w:spacing w:val="6"/>
                <w:kern w:val="0"/>
                <w:sz w:val="22"/>
                <w:szCs w:val="22"/>
                <w:highlight w:val="none"/>
                <w:lang w:val="en-US" w:eastAsia="zh-CN"/>
              </w:rPr>
              <w:t>或填报内容</w:t>
            </w:r>
            <w:r>
              <w:rPr>
                <w:rFonts w:hint="eastAsia" w:ascii="仿宋" w:hAnsi="仿宋" w:eastAsia="仿宋" w:cs="仿宋"/>
                <w:snapToGrid w:val="0"/>
                <w:color w:val="auto"/>
                <w:spacing w:val="6"/>
                <w:kern w:val="0"/>
                <w:sz w:val="22"/>
                <w:szCs w:val="22"/>
                <w:highlight w:val="none"/>
              </w:rPr>
              <w:t>数据</w:t>
            </w:r>
            <w:r>
              <w:rPr>
                <w:rFonts w:hint="eastAsia" w:ascii="仿宋" w:hAnsi="仿宋" w:eastAsia="仿宋" w:cs="仿宋"/>
                <w:snapToGrid w:val="0"/>
                <w:color w:val="auto"/>
                <w:spacing w:val="6"/>
                <w:kern w:val="0"/>
                <w:sz w:val="22"/>
                <w:szCs w:val="22"/>
                <w:highlight w:val="none"/>
                <w:lang w:val="en-US" w:eastAsia="zh-CN"/>
              </w:rPr>
              <w:t>不</w:t>
            </w:r>
            <w:r>
              <w:rPr>
                <w:rFonts w:hint="eastAsia" w:ascii="仿宋" w:hAnsi="仿宋" w:eastAsia="仿宋" w:cs="仿宋"/>
                <w:snapToGrid w:val="0"/>
                <w:color w:val="auto"/>
                <w:spacing w:val="6"/>
                <w:kern w:val="0"/>
                <w:sz w:val="22"/>
                <w:szCs w:val="22"/>
                <w:highlight w:val="none"/>
              </w:rPr>
              <w:t>准确、</w:t>
            </w:r>
            <w:r>
              <w:rPr>
                <w:rFonts w:hint="eastAsia" w:ascii="仿宋" w:hAnsi="仿宋" w:eastAsia="仿宋" w:cs="仿宋"/>
                <w:snapToGrid w:val="0"/>
                <w:color w:val="auto"/>
                <w:spacing w:val="6"/>
                <w:kern w:val="0"/>
                <w:sz w:val="22"/>
                <w:szCs w:val="22"/>
                <w:highlight w:val="none"/>
                <w:lang w:val="en-US" w:eastAsia="zh-CN"/>
              </w:rPr>
              <w:t>不</w:t>
            </w:r>
            <w:r>
              <w:rPr>
                <w:rFonts w:hint="eastAsia" w:ascii="仿宋" w:hAnsi="仿宋" w:eastAsia="仿宋" w:cs="仿宋"/>
                <w:snapToGrid w:val="0"/>
                <w:color w:val="auto"/>
                <w:spacing w:val="6"/>
                <w:kern w:val="0"/>
                <w:sz w:val="22"/>
                <w:szCs w:val="22"/>
                <w:highlight w:val="none"/>
              </w:rPr>
              <w:t>完整</w:t>
            </w:r>
            <w:r>
              <w:rPr>
                <w:rFonts w:hint="eastAsia" w:ascii="仿宋" w:hAnsi="仿宋" w:eastAsia="仿宋" w:cs="仿宋"/>
                <w:snapToGrid w:val="0"/>
                <w:color w:val="auto"/>
                <w:spacing w:val="6"/>
                <w:kern w:val="0"/>
                <w:sz w:val="22"/>
                <w:szCs w:val="22"/>
                <w:highlight w:val="none"/>
                <w:lang w:eastAsia="zh-CN"/>
              </w:rPr>
              <w:t>、</w:t>
            </w:r>
            <w:r>
              <w:rPr>
                <w:rFonts w:hint="eastAsia" w:ascii="仿宋" w:hAnsi="仿宋" w:eastAsia="仿宋" w:cs="仿宋"/>
                <w:snapToGrid w:val="0"/>
                <w:color w:val="auto"/>
                <w:spacing w:val="6"/>
                <w:kern w:val="0"/>
                <w:sz w:val="22"/>
                <w:szCs w:val="22"/>
                <w:highlight w:val="none"/>
                <w:lang w:val="en-US" w:eastAsia="zh-CN"/>
              </w:rPr>
              <w:t>有</w:t>
            </w:r>
            <w:r>
              <w:rPr>
                <w:rFonts w:hint="eastAsia" w:ascii="仿宋" w:hAnsi="仿宋" w:eastAsia="仿宋" w:cs="仿宋"/>
                <w:snapToGrid w:val="0"/>
                <w:color w:val="auto"/>
                <w:spacing w:val="6"/>
                <w:kern w:val="0"/>
                <w:sz w:val="22"/>
                <w:szCs w:val="22"/>
                <w:highlight w:val="none"/>
              </w:rPr>
              <w:t>隐瞒</w:t>
            </w:r>
            <w:r>
              <w:rPr>
                <w:rFonts w:hint="eastAsia" w:ascii="仿宋" w:hAnsi="仿宋" w:eastAsia="仿宋" w:cs="仿宋"/>
                <w:snapToGrid w:val="0"/>
                <w:color w:val="auto"/>
                <w:spacing w:val="6"/>
                <w:kern w:val="0"/>
                <w:sz w:val="22"/>
                <w:szCs w:val="22"/>
                <w:highlight w:val="none"/>
                <w:lang w:val="en-US" w:eastAsia="zh-CN"/>
              </w:rPr>
              <w:t>的</w:t>
            </w:r>
            <w:r>
              <w:rPr>
                <w:rFonts w:hint="eastAsia" w:ascii="仿宋" w:hAnsi="仿宋" w:eastAsia="仿宋" w:cs="仿宋"/>
                <w:snapToGrid w:val="0"/>
                <w:color w:val="auto"/>
                <w:spacing w:val="6"/>
                <w:kern w:val="0"/>
                <w:sz w:val="22"/>
                <w:szCs w:val="22"/>
                <w:highlight w:val="none"/>
                <w:lang w:eastAsia="zh-CN"/>
              </w:rPr>
              <w:t>）</w:t>
            </w:r>
            <w:r>
              <w:rPr>
                <w:rFonts w:hint="eastAsia" w:ascii="仿宋" w:hAnsi="仿宋" w:eastAsia="仿宋" w:cs="仿宋"/>
                <w:snapToGrid w:val="0"/>
                <w:color w:val="auto"/>
                <w:spacing w:val="6"/>
                <w:kern w:val="0"/>
                <w:sz w:val="22"/>
                <w:szCs w:val="22"/>
                <w:highlight w:val="none"/>
                <w:lang w:eastAsia="zh-CN"/>
              </w:rPr>
              <w:t>。</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-5分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w:t>
            </w:r>
          </w:p>
        </w:tc>
        <w:tc>
          <w:tcPr>
            <w:tcW w:w="4732" w:type="dxa"/>
            <w:noWrap w:val="0"/>
            <w:vAlign w:val="center"/>
          </w:tcPr>
          <w:p>
            <w:pPr>
              <w:adjustRightInd w:val="0"/>
              <w:snapToGrid w:val="0"/>
              <w:jc w:val="left"/>
              <w:rPr>
                <w:rFonts w:hint="eastAsia" w:ascii="仿宋" w:hAnsi="仿宋" w:eastAsia="仿宋" w:cs="仿宋"/>
                <w:snapToGrid w:val="0"/>
                <w:color w:val="auto"/>
                <w:spacing w:val="6"/>
                <w:kern w:val="0"/>
                <w:sz w:val="22"/>
                <w:szCs w:val="22"/>
                <w:highlight w:val="none"/>
              </w:rPr>
            </w:pPr>
            <w:r>
              <w:rPr>
                <w:rFonts w:hint="eastAsia" w:ascii="仿宋" w:hAnsi="仿宋" w:eastAsia="仿宋" w:cs="仿宋"/>
                <w:color w:val="auto"/>
                <w:sz w:val="22"/>
                <w:szCs w:val="22"/>
                <w:highlight w:val="none"/>
              </w:rPr>
              <w:t>如产生与第三方的诉讼，未主动提供相关法律咨询及法律援助服务的。</w:t>
            </w:r>
          </w:p>
        </w:tc>
        <w:tc>
          <w:tcPr>
            <w:tcW w:w="1513"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-5分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4732" w:type="dxa"/>
            <w:noWrap w:val="0"/>
            <w:vAlign w:val="center"/>
          </w:tcPr>
          <w:p>
            <w:pPr>
              <w:adjustRightInd w:val="0"/>
              <w:snapToGrid w:val="0"/>
              <w:jc w:val="left"/>
              <w:rPr>
                <w:rFonts w:hint="eastAsia" w:ascii="仿宋" w:hAnsi="仿宋" w:eastAsia="仿宋" w:cs="仿宋"/>
                <w:color w:val="auto"/>
                <w:sz w:val="22"/>
                <w:szCs w:val="22"/>
                <w:highlight w:val="none"/>
              </w:rPr>
            </w:pPr>
            <w:r>
              <w:rPr>
                <w:rFonts w:hint="eastAsia" w:ascii="仿宋" w:hAnsi="仿宋" w:eastAsia="仿宋" w:cs="仿宋"/>
                <w:snapToGrid w:val="0"/>
                <w:color w:val="auto"/>
                <w:spacing w:val="6"/>
                <w:kern w:val="0"/>
                <w:sz w:val="22"/>
                <w:szCs w:val="22"/>
                <w:highlight w:val="none"/>
              </w:rPr>
              <w:t>未积极配合采购人重伤、亡人事故调解处理的。</w:t>
            </w:r>
          </w:p>
        </w:tc>
        <w:tc>
          <w:tcPr>
            <w:tcW w:w="1513" w:type="dxa"/>
            <w:noWrap w:val="0"/>
            <w:vAlign w:val="center"/>
          </w:tcPr>
          <w:p>
            <w:pPr>
              <w:adjustRightInd w:val="0"/>
              <w:snapToGrid w:val="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每次扣5-10分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w:t>
            </w:r>
          </w:p>
        </w:tc>
        <w:tc>
          <w:tcPr>
            <w:tcW w:w="4732" w:type="dxa"/>
            <w:noWrap w:val="0"/>
            <w:vAlign w:val="center"/>
          </w:tcPr>
          <w:p>
            <w:pPr>
              <w:adjustRightInd w:val="0"/>
              <w:snapToGrid w:val="0"/>
              <w:jc w:val="left"/>
              <w:rPr>
                <w:rFonts w:hint="eastAsia" w:ascii="仿宋" w:hAnsi="仿宋" w:eastAsia="仿宋" w:cs="仿宋"/>
                <w:color w:val="auto"/>
                <w:sz w:val="22"/>
                <w:szCs w:val="22"/>
                <w:highlight w:val="none"/>
              </w:rPr>
            </w:pPr>
            <w:r>
              <w:rPr>
                <w:rFonts w:hint="eastAsia" w:ascii="仿宋" w:hAnsi="仿宋" w:eastAsia="仿宋" w:cs="仿宋"/>
                <w:color w:val="auto"/>
                <w:sz w:val="24"/>
                <w:highlight w:val="none"/>
              </w:rPr>
              <w:t>对于非道路交通事故，如停车场内等发生的事故，造成车辆或其他物品的损失由采购人安全部门出具事故证明，造成人员伤亡的由公安部门出具事故证明，</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未按保险责任予以赔付。</w:t>
            </w:r>
          </w:p>
        </w:tc>
        <w:tc>
          <w:tcPr>
            <w:tcW w:w="1513" w:type="dxa"/>
            <w:noWrap w:val="0"/>
            <w:vAlign w:val="center"/>
          </w:tcPr>
          <w:p>
            <w:pPr>
              <w:adjustRightInd w:val="0"/>
              <w:snapToGrid w:val="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每次扣5-10分</w:t>
            </w:r>
          </w:p>
        </w:tc>
        <w:tc>
          <w:tcPr>
            <w:tcW w:w="1200" w:type="dxa"/>
            <w:noWrap w:val="0"/>
            <w:vAlign w:val="center"/>
          </w:tcPr>
          <w:p>
            <w:pPr>
              <w:adjustRightInd w:val="0"/>
              <w:snapToGrid w:val="0"/>
              <w:jc w:val="center"/>
              <w:rPr>
                <w:rFonts w:hint="eastAsia" w:ascii="仿宋" w:hAnsi="仿宋" w:eastAsia="仿宋" w:cs="仿宋"/>
                <w:color w:val="auto"/>
                <w:sz w:val="22"/>
                <w:szCs w:val="22"/>
                <w:highlight w:val="none"/>
              </w:rPr>
            </w:pPr>
          </w:p>
        </w:tc>
        <w:tc>
          <w:tcPr>
            <w:tcW w:w="1149" w:type="dxa"/>
            <w:noWrap w:val="0"/>
            <w:vAlign w:val="center"/>
          </w:tcPr>
          <w:p>
            <w:pPr>
              <w:adjustRightInd w:val="0"/>
              <w:snapToGrid w:val="0"/>
              <w:jc w:val="center"/>
              <w:rPr>
                <w:rFonts w:hint="eastAsia" w:ascii="仿宋" w:hAnsi="仿宋" w:eastAsia="仿宋" w:cs="仿宋"/>
                <w:color w:val="auto"/>
                <w:sz w:val="22"/>
                <w:szCs w:val="22"/>
                <w:highlight w:val="none"/>
              </w:rPr>
            </w:pPr>
          </w:p>
        </w:tc>
      </w:tr>
    </w:tbl>
    <w:p>
      <w:pPr>
        <w:spacing w:line="360" w:lineRule="auto"/>
        <w:rPr>
          <w:rFonts w:hint="eastAsia" w:eastAsia="宋体" w:cs="Times New Roman"/>
          <w:b/>
          <w:bCs/>
          <w:color w:val="auto"/>
          <w:sz w:val="28"/>
          <w:szCs w:val="28"/>
          <w:highlight w:val="none"/>
          <w:lang w:val="en-US" w:eastAsia="zh-CN"/>
        </w:rPr>
      </w:pPr>
      <w:r>
        <w:rPr>
          <w:rFonts w:hint="eastAsia" w:ascii="仿宋" w:hAnsi="仿宋" w:eastAsia="仿宋" w:cs="仿宋"/>
          <w:b/>
          <w:bCs/>
          <w:color w:val="auto"/>
          <w:szCs w:val="21"/>
          <w:highlight w:val="none"/>
        </w:rPr>
        <w:t>注：满分为100分。</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E5044"/>
    <w:rsid w:val="52AE5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3">
    <w:name w:val="Body Text Indent"/>
    <w:basedOn w:val="1"/>
    <w:next w:val="1"/>
    <w:qFormat/>
    <w:uiPriority w:val="0"/>
    <w:pPr>
      <w:spacing w:line="360" w:lineRule="auto"/>
      <w:ind w:firstLine="435"/>
    </w:pPr>
    <w:rPr>
      <w:sz w:val="28"/>
      <w:szCs w:val="24"/>
    </w:rPr>
  </w:style>
  <w:style w:type="paragraph" w:styleId="4">
    <w:name w:val="toc 3"/>
    <w:basedOn w:val="1"/>
    <w:next w:val="1"/>
    <w:uiPriority w:val="0"/>
    <w:pPr>
      <w:ind w:left="420"/>
      <w:jc w:val="left"/>
    </w:pPr>
    <w:rPr>
      <w:rFonts w:ascii="仿宋_GB2312" w:eastAsia="仿宋_GB2312"/>
      <w:i/>
      <w:iCs/>
      <w:sz w:val="20"/>
    </w:rPr>
  </w:style>
  <w:style w:type="paragraph" w:customStyle="1" w:styleId="7">
    <w:name w:val="正文1"/>
    <w:basedOn w:val="4"/>
    <w:next w:val="8"/>
    <w:uiPriority w:val="0"/>
    <w:pPr>
      <w:widowControl w:val="0"/>
      <w:adjustRightInd w:val="0"/>
      <w:spacing w:line="312" w:lineRule="atLeast"/>
      <w:jc w:val="both"/>
      <w:textAlignment w:val="baseline"/>
    </w:pPr>
    <w:rPr>
      <w:rFonts w:ascii="宋体"/>
      <w:sz w:val="34"/>
      <w:lang w:val="en-US" w:eastAsia="zh-CN" w:bidi="ar-SA"/>
    </w:rPr>
  </w:style>
  <w:style w:type="paragraph" w:customStyle="1" w:styleId="8">
    <w:name w:val="自动更正"/>
    <w:next w:val="9"/>
    <w:qFormat/>
    <w:uiPriority w:val="99"/>
    <w:pPr>
      <w:widowControl w:val="0"/>
      <w:jc w:val="both"/>
    </w:pPr>
    <w:rPr>
      <w:rFonts w:ascii="Times New Roman" w:hAnsi="Times New Roman" w:eastAsia="等线" w:cs="Times New Roman"/>
      <w:kern w:val="2"/>
      <w:sz w:val="21"/>
      <w:szCs w:val="24"/>
      <w:lang w:val="en-US" w:eastAsia="zh-CN" w:bidi="ar-SA"/>
    </w:rPr>
  </w:style>
  <w:style w:type="paragraph" w:customStyle="1" w:styleId="9">
    <w:name w:val="xl39"/>
    <w:basedOn w:val="1"/>
    <w:next w:val="10"/>
    <w:qFormat/>
    <w:uiPriority w:val="99"/>
    <w:pPr>
      <w:pBdr>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10">
    <w:name w:val="分手多日，近况如何？"/>
    <w:next w:val="1"/>
    <w:qFormat/>
    <w:uiPriority w:val="99"/>
    <w:pPr>
      <w:widowControl w:val="0"/>
      <w:jc w:val="both"/>
    </w:pPr>
    <w:rPr>
      <w:rFonts w:ascii="Times New Roman" w:hAnsi="Times New Roman" w:eastAsia="等线" w:cs="Times New Roman"/>
      <w:sz w:val="21"/>
      <w:lang w:val="en-US" w:eastAsia="zh-CN" w:bidi="ar-SA"/>
    </w:rPr>
  </w:style>
  <w:style w:type="paragraph" w:customStyle="1" w:styleId="11">
    <w:name w:val="正文段"/>
    <w:basedOn w:val="1"/>
    <w:qFormat/>
    <w:uiPriority w:val="0"/>
    <w:pPr>
      <w:widowControl/>
      <w:snapToGrid w:val="0"/>
      <w:spacing w:afterLines="50"/>
      <w:ind w:firstLine="200" w:firstLineChars="200"/>
    </w:pPr>
    <w:rPr>
      <w:kern w:val="0"/>
      <w:sz w:val="24"/>
    </w:rPr>
  </w:style>
  <w:style w:type="paragraph" w:customStyle="1" w:styleId="12">
    <w:name w:val="Body Text Indent"/>
    <w:basedOn w:val="1"/>
    <w:qFormat/>
    <w:uiPriority w:val="0"/>
    <w:pPr>
      <w:spacing w:after="120"/>
      <w:ind w:left="420" w:left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2023-03-02T09:04:00Z</dcterms:created>
  <dc:creator>微信用户</dc:creator>
  <cp:lastModifiedBy>微信用户</cp:lastModifiedBy>
  <dcterms:modified xsi:type="dcterms:W3CDTF">2023-03-02T09:05:33Z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C8DBED4A64B449AEBB5E08730004D140</vt:lpwstr>
  </property>
</Properties>
</file>