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附件</w:t>
      </w:r>
    </w:p>
    <w:p>
      <w:pPr>
        <w:pStyle w:val="4"/>
        <w:jc w:val="center"/>
        <w:rPr>
          <w:rFonts w:hint="eastAsia" w:ascii="Calibri" w:hAnsi="Calibri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kern w:val="2"/>
          <w:sz w:val="32"/>
          <w:szCs w:val="32"/>
          <w:lang w:val="en-US" w:eastAsia="zh-CN" w:bidi="ar-SA"/>
        </w:rPr>
        <w:t>衢州高铁新城智慧产业园道路配套工程(规划道路一)和衢州高铁新城智慧小镇北片区市政配套（一期）工程竣工测绘</w:t>
      </w:r>
    </w:p>
    <w:p>
      <w:pPr>
        <w:pStyle w:val="4"/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 w:ascii="Calibri" w:hAnsi="Calibri" w:eastAsia="宋体" w:cs="Times New Roman"/>
          <w:color w:val="000000"/>
          <w:kern w:val="2"/>
          <w:sz w:val="32"/>
          <w:szCs w:val="32"/>
          <w:lang w:val="en-US" w:eastAsia="zh-CN" w:bidi="ar-SA"/>
        </w:rPr>
        <w:t>报</w:t>
      </w:r>
      <w:r>
        <w:rPr>
          <w:rFonts w:hint="eastAsia"/>
          <w:color w:val="000000"/>
          <w:sz w:val="32"/>
          <w:szCs w:val="32"/>
        </w:rPr>
        <w:t>价单</w:t>
      </w:r>
    </w:p>
    <w:p>
      <w:pPr>
        <w:pStyle w:val="4"/>
        <w:jc w:val="center"/>
        <w:rPr>
          <w:rFonts w:hint="eastAsia"/>
          <w:color w:val="000000"/>
          <w:sz w:val="32"/>
          <w:szCs w:val="32"/>
        </w:rPr>
      </w:pPr>
    </w:p>
    <w:p>
      <w:pPr>
        <w:pStyle w:val="4"/>
        <w:jc w:val="center"/>
        <w:rPr>
          <w:rFonts w:hint="eastAsia" w:eastAsia="宋体"/>
          <w:color w:val="000000"/>
          <w:sz w:val="32"/>
          <w:szCs w:val="32"/>
          <w:lang w:val="en-US" w:eastAsia="zh-CN"/>
        </w:rPr>
      </w:pPr>
    </w:p>
    <w:p>
      <w:pPr>
        <w:pStyle w:val="4"/>
        <w:jc w:val="center"/>
        <w:rPr>
          <w:rFonts w:hint="eastAsia" w:eastAsia="宋体"/>
          <w:color w:val="000000"/>
          <w:sz w:val="32"/>
          <w:szCs w:val="32"/>
          <w:lang w:val="en-US" w:eastAsia="zh-CN"/>
        </w:rPr>
      </w:pPr>
    </w:p>
    <w:p>
      <w:pPr>
        <w:spacing w:line="420" w:lineRule="exact"/>
        <w:jc w:val="right"/>
        <w:rPr>
          <w:rFonts w:hint="default" w:ascii="宋体" w:hAnsi="宋体" w:eastAsia="宋体" w:cs="Times New Roman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2"/>
          <w:szCs w:val="22"/>
          <w:lang w:val="en-US" w:eastAsia="zh-CN"/>
        </w:rPr>
        <w:t>年   月   日</w:t>
      </w:r>
    </w:p>
    <w:tbl>
      <w:tblPr>
        <w:tblStyle w:val="6"/>
        <w:tblpPr w:leftFromText="180" w:rightFromText="180" w:vertAnchor="text" w:horzAnchor="page" w:tblpX="1486" w:tblpY="145"/>
        <w:tblOverlap w:val="never"/>
        <w:tblW w:w="96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12"/>
        <w:gridCol w:w="925"/>
        <w:gridCol w:w="1650"/>
        <w:gridCol w:w="1100"/>
        <w:gridCol w:w="1116"/>
        <w:gridCol w:w="1325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73" w:line="625" w:lineRule="exact"/>
              <w:ind w:left="139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测绘内容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暂定工程量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最高限价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单价（元）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单价报价（元）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ind w:left="220" w:hanging="220" w:hangingChars="100"/>
              <w:jc w:val="both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合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价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left="879" w:leftChars="209" w:hanging="440" w:hangingChars="200"/>
              <w:jc w:val="both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185" w:lineRule="auto"/>
              <w:ind w:firstLine="220" w:firstLineChars="10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竣工规划核实测量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4" w:line="182" w:lineRule="auto"/>
              <w:ind w:left="206" w:hanging="206" w:hanging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spacing w:val="-2"/>
                <w:sz w:val="21"/>
                <w:szCs w:val="21"/>
                <w:lang w:val="en-US" w:eastAsia="zh-CN"/>
              </w:rPr>
              <w:t>（规划道路一）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17644.176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ind w:left="151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ind w:left="151" w:leftChars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4" w:line="182" w:lineRule="auto"/>
              <w:ind w:left="27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2" w:line="287" w:lineRule="auto"/>
              <w:ind w:left="224" w:leftChars="0" w:right="107" w:rightChars="0" w:hanging="103" w:firstLineChars="0"/>
              <w:jc w:val="center"/>
              <w:rPr>
                <w:rFonts w:hint="default" w:ascii="Calibri" w:hAnsi="Calibri" w:eastAsia="宋体" w:cs="Calibri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暂定工程量按规划许可证数量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185" w:lineRule="auto"/>
              <w:ind w:firstLine="22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4" w:line="182" w:lineRule="auto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（一期）</w:t>
            </w:r>
          </w:p>
          <w:p>
            <w:pPr>
              <w:pStyle w:val="2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18038.388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ind w:left="15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ind w:left="151" w:leftChars="0"/>
              <w:jc w:val="center"/>
              <w:rPr>
                <w:rFonts w:hint="eastAsia" w:ascii="Calibri" w:hAnsi="Calibri" w:eastAsia="宋体" w:cs="Calibri"/>
                <w:color w:val="00000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4" w:line="182" w:lineRule="auto"/>
              <w:ind w:left="27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2" w:line="287" w:lineRule="auto"/>
              <w:ind w:left="224" w:leftChars="0" w:right="107" w:rightChars="0" w:hanging="103" w:firstLineChars="0"/>
              <w:jc w:val="center"/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37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地下管线测绘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4" w:line="182" w:lineRule="auto"/>
              <w:ind w:left="412" w:hanging="412" w:hanging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spacing w:val="-2"/>
                <w:sz w:val="21"/>
                <w:szCs w:val="21"/>
                <w:lang w:val="en-US" w:eastAsia="zh-CN"/>
              </w:rPr>
              <w:t>（规划道路一）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1470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ind w:firstLine="22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4.237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ind w:firstLine="440" w:firstLineChars="20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4" w:line="182" w:lineRule="auto"/>
              <w:ind w:left="27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5" w:line="288" w:lineRule="auto"/>
              <w:ind w:left="223" w:leftChars="0" w:right="107" w:rightChars="0" w:hanging="102" w:firstLineChars="0"/>
              <w:jc w:val="center"/>
              <w:rPr>
                <w:rFonts w:ascii="Calibri" w:hAnsi="Calibri" w:eastAsia="Calibri" w:cs="Calibri"/>
                <w:color w:val="000000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暂定工程量按规划许可证数量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3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4" w:line="182" w:lineRule="auto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（一期）</w:t>
            </w:r>
          </w:p>
          <w:p>
            <w:pPr>
              <w:spacing w:before="64" w:line="182" w:lineRule="auto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1533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ind w:firstLine="22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20" w:lineRule="auto"/>
              <w:ind w:firstLine="440" w:firstLineChars="20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4" w:line="182" w:lineRule="auto"/>
              <w:ind w:left="27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5" w:line="288" w:lineRule="auto"/>
              <w:ind w:left="223" w:leftChars="0" w:right="107" w:rightChars="0" w:hanging="102" w:firstLineChars="0"/>
              <w:jc w:val="center"/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6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074"/>
                <w:tab w:val="center" w:pos="2882"/>
              </w:tabs>
              <w:spacing w:before="91" w:line="220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总价（大写）：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4" w:line="182" w:lineRule="auto"/>
              <w:ind w:left="27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5" w:line="288" w:lineRule="auto"/>
              <w:ind w:left="223" w:leftChars="0" w:right="107" w:rightChars="0" w:hanging="102" w:firstLineChars="0"/>
              <w:jc w:val="center"/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20" w:lineRule="exact"/>
        <w:ind w:left="880" w:hanging="880" w:hangingChars="400"/>
        <w:rPr>
          <w:rFonts w:hint="eastAsia" w:ascii="宋体" w:hAnsi="宋体" w:eastAsia="宋体" w:cs="Times New Roman"/>
          <w:color w:val="000000"/>
          <w:sz w:val="22"/>
          <w:szCs w:val="22"/>
        </w:rPr>
      </w:pPr>
    </w:p>
    <w:p>
      <w:pPr>
        <w:spacing w:line="420" w:lineRule="exact"/>
        <w:ind w:left="880" w:hanging="880" w:hangingChars="400"/>
        <w:rPr>
          <w:rFonts w:hint="eastAsia" w:ascii="宋体" w:hAnsi="宋体" w:eastAsia="宋体" w:cs="Times New Roman"/>
          <w:color w:val="000000"/>
          <w:sz w:val="22"/>
          <w:szCs w:val="22"/>
        </w:rPr>
      </w:pPr>
      <w:r>
        <w:rPr>
          <w:rFonts w:hint="eastAsia" w:ascii="宋体" w:hAnsi="宋体" w:eastAsia="宋体" w:cs="Times New Roman"/>
          <w:color w:val="000000"/>
          <w:sz w:val="22"/>
          <w:szCs w:val="22"/>
        </w:rPr>
        <w:t>注：</w:t>
      </w:r>
    </w:p>
    <w:p>
      <w:pPr>
        <w:spacing w:line="420" w:lineRule="exact"/>
        <w:rPr>
          <w:rFonts w:hint="eastAsia" w:ascii="宋体" w:hAnsi="宋体" w:eastAsia="宋体" w:cs="Times New Roman"/>
          <w:color w:val="000000"/>
          <w:sz w:val="22"/>
          <w:szCs w:val="22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2"/>
          <w:szCs w:val="22"/>
        </w:rPr>
        <w:t>1、</w:t>
      </w:r>
      <w:r>
        <w:rPr>
          <w:rFonts w:hint="eastAsia" w:ascii="宋体" w:hAnsi="宋体" w:eastAsia="宋体" w:cs="Times New Roman"/>
          <w:color w:val="000000"/>
          <w:sz w:val="22"/>
          <w:szCs w:val="22"/>
          <w:lang w:val="en-US" w:eastAsia="zh-CN"/>
        </w:rPr>
        <w:t>测绘服务费用包含完成工作所需的设备、会务专家费、资料、报告编制、管理、利润、税金（提供增值税专用发票）等所有费用。</w:t>
      </w:r>
    </w:p>
    <w:p>
      <w:pPr>
        <w:spacing w:line="420" w:lineRule="exact"/>
        <w:rPr>
          <w:rFonts w:ascii="宋体" w:hAnsi="宋体" w:eastAsia="宋体"/>
          <w:b w:val="0"/>
          <w:bCs w:val="0"/>
          <w:color w:val="000000"/>
          <w:sz w:val="22"/>
          <w:szCs w:val="22"/>
        </w:rPr>
      </w:pPr>
      <w:r>
        <w:rPr>
          <w:rFonts w:hint="eastAsia" w:ascii="宋体" w:hAnsi="宋体" w:eastAsia="宋体" w:cs="Times New Roman"/>
          <w:color w:val="000000"/>
          <w:sz w:val="22"/>
          <w:szCs w:val="22"/>
        </w:rPr>
        <w:t>2、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2"/>
          <w:szCs w:val="22"/>
        </w:rPr>
        <w:t>单价保留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2"/>
          <w:szCs w:val="22"/>
        </w:rPr>
        <w:t>位小数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合价保留整数精确到元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2"/>
          <w:szCs w:val="22"/>
        </w:rPr>
        <w:t>。</w:t>
      </w:r>
    </w:p>
    <w:p>
      <w:pPr>
        <w:spacing w:line="420" w:lineRule="exact"/>
        <w:rPr>
          <w:rFonts w:hint="default" w:ascii="宋体" w:hAnsi="宋体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3、大小写金额不一致时以大写金额为准调整单价。</w:t>
      </w:r>
    </w:p>
    <w:p>
      <w:pPr>
        <w:spacing w:line="420" w:lineRule="exact"/>
        <w:rPr>
          <w:rFonts w:hint="eastAsia" w:ascii="宋体" w:hAnsi="宋体" w:eastAsia="宋体" w:cs="Times New Roman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2"/>
          <w:szCs w:val="22"/>
          <w:lang w:val="en-US" w:eastAsia="zh-CN"/>
        </w:rPr>
        <w:t>4、按实际测绘数量结算，固定单价不变。</w:t>
      </w:r>
    </w:p>
    <w:p>
      <w:pPr>
        <w:spacing w:line="420" w:lineRule="exact"/>
        <w:rPr>
          <w:rFonts w:hint="default" w:ascii="宋体" w:hAnsi="宋体" w:eastAsia="宋体" w:cs="Times New Roman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color w:val="000000"/>
          <w:sz w:val="22"/>
          <w:szCs w:val="22"/>
          <w:lang w:val="en-US" w:eastAsia="zh-CN"/>
        </w:rPr>
        <w:t>、报价时单价及总价均不得超过最高限价，否则报价无效。</w:t>
      </w:r>
    </w:p>
    <w:p>
      <w:pPr>
        <w:spacing w:line="420" w:lineRule="exact"/>
        <w:rPr>
          <w:rFonts w:hint="default" w:ascii="宋体" w:hAnsi="宋体" w:eastAsia="宋体" w:cs="Times New Roman"/>
          <w:color w:val="000000"/>
          <w:sz w:val="22"/>
          <w:szCs w:val="22"/>
          <w:lang w:val="en-US" w:eastAsia="zh-CN"/>
        </w:rPr>
      </w:pPr>
    </w:p>
    <w:p>
      <w:pPr>
        <w:pStyle w:val="3"/>
        <w:jc w:val="left"/>
        <w:rPr>
          <w:rFonts w:ascii="宋体" w:hAnsi="宋体" w:eastAsia="宋体" w:cs="宋体"/>
          <w:color w:val="000000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 xml:space="preserve">单位（盖章）：            联系人：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 xml:space="preserve">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F9DC31"/>
    <w:rsid w:val="70FF9F59"/>
    <w:rsid w:val="7EB29603"/>
    <w:rsid w:val="B9F9DC31"/>
    <w:rsid w:val="DAD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unhideWhenUsed/>
    <w:qFormat/>
    <w:uiPriority w:val="0"/>
    <w:pPr>
      <w:spacing w:before="231"/>
      <w:ind w:right="833"/>
      <w:jc w:val="center"/>
      <w:outlineLvl w:val="5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39"/>
    <w:pPr>
      <w:ind w:left="210"/>
      <w:jc w:val="left"/>
    </w:pPr>
    <w:rPr>
      <w:rFonts w:ascii="??_GB2312" w:eastAsia="Times New Roman" w:cs="??_GB2312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2023-12-11T16:53:00Z</dcterms:created>
  <dc:creator>quzhou</dc:creator>
  <cp:lastModifiedBy>quzhou</cp:lastModifiedBy>
  <dcterms:modified xsi:type="dcterms:W3CDTF">2023-12-11T17:01:22Z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