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0" w:beforeLines="250"/>
        <w:jc w:val="center"/>
        <w:rPr>
          <w:rFonts w:hint="eastAsia" w:ascii="仿宋" w:hAnsi="仿宋" w:eastAsia="仿宋" w:cs="仿宋"/>
          <w:b/>
          <w:bCs/>
          <w:sz w:val="44"/>
          <w:szCs w:val="44"/>
          <w:highlight w:val="none"/>
        </w:rPr>
      </w:pPr>
    </w:p>
    <w:p>
      <w:pPr>
        <w:spacing w:before="600" w:beforeLines="250"/>
        <w:jc w:val="center"/>
        <w:rPr>
          <w:rFonts w:hint="eastAsia" w:ascii="仿宋" w:hAnsi="仿宋" w:eastAsia="仿宋" w:cs="仿宋"/>
          <w:b/>
          <w:sz w:val="72"/>
          <w:szCs w:val="72"/>
          <w:highlight w:val="none"/>
        </w:rPr>
      </w:pPr>
      <w:r>
        <w:rPr>
          <w:rFonts w:hint="eastAsia" w:ascii="仿宋" w:hAnsi="仿宋" w:eastAsia="仿宋" w:cs="仿宋"/>
          <w:b/>
          <w:bCs/>
          <w:sz w:val="84"/>
          <w:szCs w:val="84"/>
          <w:highlight w:val="none"/>
        </w:rPr>
        <w:drawing>
          <wp:inline distT="0" distB="0" distL="114300" distR="114300">
            <wp:extent cx="2247900" cy="2247900"/>
            <wp:effectExtent l="0" t="0" r="0" b="0"/>
            <wp:docPr id="6"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图片1"/>
                    <pic:cNvPicPr>
                      <a:picLocks noChangeAspect="1"/>
                    </pic:cNvPicPr>
                  </pic:nvPicPr>
                  <pic:blipFill>
                    <a:blip r:embed="rId11"/>
                    <a:stretch>
                      <a:fillRect/>
                    </a:stretch>
                  </pic:blipFill>
                  <pic:spPr>
                    <a:xfrm>
                      <a:off x="0" y="0"/>
                      <a:ext cx="2247900" cy="2247900"/>
                    </a:xfrm>
                    <a:prstGeom prst="rect">
                      <a:avLst/>
                    </a:prstGeom>
                    <a:noFill/>
                    <a:ln>
                      <a:noFill/>
                    </a:ln>
                  </pic:spPr>
                </pic:pic>
              </a:graphicData>
            </a:graphic>
          </wp:inline>
        </w:drawing>
      </w:r>
    </w:p>
    <w:p>
      <w:pPr>
        <w:spacing w:before="600" w:beforeLines="250"/>
        <w:jc w:val="center"/>
        <w:rPr>
          <w:rFonts w:hint="eastAsia" w:ascii="仿宋" w:hAnsi="仿宋" w:eastAsia="仿宋" w:cs="仿宋"/>
          <w:b/>
          <w:sz w:val="72"/>
          <w:szCs w:val="72"/>
          <w:highlight w:val="none"/>
          <w:lang w:eastAsia="zh-CN"/>
        </w:rPr>
      </w:pPr>
      <w:r>
        <w:rPr>
          <w:rFonts w:hint="eastAsia" w:ascii="仿宋" w:hAnsi="仿宋" w:eastAsia="仿宋" w:cs="仿宋"/>
          <w:b/>
          <w:sz w:val="72"/>
          <w:szCs w:val="72"/>
          <w:highlight w:val="none"/>
          <w:lang w:val="en-US" w:eastAsia="zh-CN"/>
        </w:rPr>
        <w:t>招标</w:t>
      </w:r>
      <w:r>
        <w:rPr>
          <w:rFonts w:hint="eastAsia" w:ascii="仿宋" w:hAnsi="仿宋" w:eastAsia="仿宋" w:cs="仿宋"/>
          <w:b/>
          <w:sz w:val="72"/>
          <w:szCs w:val="72"/>
          <w:highlight w:val="none"/>
          <w:lang w:eastAsia="zh-CN"/>
        </w:rPr>
        <w:t>文件</w:t>
      </w:r>
    </w:p>
    <w:p>
      <w:pPr>
        <w:jc w:val="center"/>
        <w:rPr>
          <w:rFonts w:hint="eastAsia" w:ascii="仿宋" w:hAnsi="仿宋" w:eastAsia="仿宋" w:cs="仿宋"/>
          <w:sz w:val="28"/>
          <w:szCs w:val="28"/>
          <w:highlight w:val="none"/>
        </w:rPr>
      </w:pPr>
    </w:p>
    <w:p>
      <w:pPr>
        <w:pStyle w:val="12"/>
        <w:rPr>
          <w:rFonts w:hint="eastAsia"/>
          <w:color w:val="auto"/>
        </w:rPr>
      </w:pPr>
    </w:p>
    <w:p>
      <w:pPr>
        <w:rPr>
          <w:rFonts w:hint="eastAsia" w:ascii="仿宋" w:hAnsi="仿宋" w:eastAsia="仿宋" w:cs="仿宋"/>
          <w:color w:val="auto"/>
          <w:sz w:val="28"/>
          <w:szCs w:val="28"/>
          <w:highlight w:val="none"/>
        </w:rPr>
      </w:pPr>
    </w:p>
    <w:tbl>
      <w:tblPr>
        <w:tblStyle w:val="17"/>
        <w:tblW w:w="7329" w:type="dxa"/>
        <w:tblInd w:w="1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29" w:type="dxa"/>
          </w:tcPr>
          <w:p>
            <w:pPr>
              <w:rPr>
                <w:rFonts w:hint="eastAsia" w:ascii="仿宋" w:hAnsi="仿宋" w:eastAsia="仿宋" w:cs="仿宋"/>
                <w:color w:val="auto"/>
                <w:highlight w:val="none"/>
                <w:vertAlign w:val="baseline"/>
              </w:rPr>
            </w:pPr>
            <w:r>
              <w:rPr>
                <w:rFonts w:hint="eastAsia" w:ascii="仿宋" w:hAnsi="仿宋" w:eastAsia="仿宋" w:cs="仿宋"/>
                <w:b/>
                <w:bCs/>
                <w:color w:val="auto"/>
                <w:sz w:val="32"/>
                <w:szCs w:val="32"/>
                <w:highlight w:val="none"/>
              </w:rPr>
              <w:t>项目名称：</w:t>
            </w:r>
            <w:r>
              <w:rPr>
                <w:rFonts w:hint="eastAsia" w:ascii="仿宋" w:hAnsi="仿宋" w:eastAsia="仿宋" w:cs="仿宋"/>
                <w:color w:val="auto"/>
                <w:sz w:val="32"/>
                <w:szCs w:val="32"/>
                <w:highlight w:val="none"/>
                <w:lang w:eastAsia="zh-CN"/>
              </w:rPr>
              <w:t>会议室设备采购项目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29" w:type="dxa"/>
          </w:tcPr>
          <w:p>
            <w:pPr>
              <w:spacing w:line="360" w:lineRule="auto"/>
              <w:rPr>
                <w:rFonts w:hint="eastAsia" w:ascii="仿宋" w:hAnsi="仿宋" w:eastAsia="仿宋" w:cs="仿宋"/>
                <w:color w:val="auto"/>
                <w:highlight w:val="none"/>
                <w:vertAlign w:val="baseline"/>
              </w:rPr>
            </w:pPr>
            <w:r>
              <w:rPr>
                <w:rFonts w:hint="eastAsia" w:ascii="仿宋" w:hAnsi="仿宋" w:eastAsia="仿宋" w:cs="仿宋"/>
                <w:b/>
                <w:bCs/>
                <w:color w:val="auto"/>
                <w:sz w:val="32"/>
                <w:szCs w:val="32"/>
                <w:highlight w:val="none"/>
              </w:rPr>
              <w:t>项目编号：</w:t>
            </w:r>
            <w:r>
              <w:rPr>
                <w:rFonts w:hint="eastAsia" w:ascii="仿宋" w:hAnsi="仿宋" w:eastAsia="仿宋" w:cs="仿宋"/>
                <w:color w:val="auto"/>
                <w:sz w:val="32"/>
                <w:szCs w:val="32"/>
                <w:highlight w:val="none"/>
                <w:lang w:eastAsia="zh-CN"/>
              </w:rPr>
              <w:t>LSZX-2024-CG0148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29" w:type="dxa"/>
          </w:tcPr>
          <w:p>
            <w:pPr>
              <w:spacing w:line="360" w:lineRule="auto"/>
              <w:rPr>
                <w:rFonts w:hint="eastAsia" w:ascii="仿宋" w:hAnsi="仿宋" w:eastAsia="仿宋" w:cs="仿宋"/>
                <w:color w:val="auto"/>
                <w:highlight w:val="none"/>
                <w:vertAlign w:val="baseline"/>
              </w:rPr>
            </w:pPr>
            <w:r>
              <w:rPr>
                <w:rFonts w:hint="eastAsia" w:ascii="仿宋" w:hAnsi="仿宋" w:eastAsia="仿宋" w:cs="仿宋"/>
                <w:b/>
                <w:bCs/>
                <w:color w:val="auto"/>
                <w:sz w:val="32"/>
                <w:szCs w:val="32"/>
                <w:highlight w:val="none"/>
              </w:rPr>
              <w:t>采购人：</w:t>
            </w:r>
            <w:r>
              <w:rPr>
                <w:rFonts w:hint="eastAsia" w:ascii="仿宋" w:hAnsi="仿宋" w:eastAsia="仿宋" w:cs="仿宋"/>
                <w:color w:val="auto"/>
                <w:sz w:val="32"/>
                <w:szCs w:val="32"/>
                <w:highlight w:val="none"/>
                <w:lang w:eastAsia="zh-CN"/>
              </w:rPr>
              <w:t>浙江衢州公交集团有限公司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29" w:type="dxa"/>
          </w:tcPr>
          <w:p>
            <w:pPr>
              <w:spacing w:line="360" w:lineRule="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采购代理机构：</w:t>
            </w:r>
            <w:r>
              <w:rPr>
                <w:rFonts w:hint="eastAsia" w:ascii="仿宋" w:hAnsi="仿宋" w:eastAsia="仿宋" w:cs="仿宋"/>
                <w:color w:val="auto"/>
                <w:sz w:val="32"/>
                <w:szCs w:val="32"/>
                <w:highlight w:val="none"/>
              </w:rPr>
              <w:t>衢州市两山工程咨询管理有限公司</w:t>
            </w:r>
          </w:p>
          <w:p>
            <w:pPr>
              <w:rPr>
                <w:rFonts w:hint="eastAsia" w:ascii="仿宋" w:hAnsi="仿宋" w:eastAsia="仿宋" w:cs="仿宋"/>
                <w:color w:val="auto"/>
                <w:highlight w:val="none"/>
                <w:vertAlign w:val="baseline"/>
              </w:rPr>
            </w:pPr>
          </w:p>
        </w:tc>
      </w:tr>
    </w:tbl>
    <w:p>
      <w:pPr>
        <w:rPr>
          <w:rFonts w:hint="eastAsia" w:ascii="仿宋" w:hAnsi="仿宋" w:eastAsia="仿宋" w:cs="仿宋"/>
          <w:color w:val="auto"/>
          <w:highlight w:val="none"/>
        </w:rPr>
      </w:pPr>
    </w:p>
    <w:p>
      <w:pPr>
        <w:rPr>
          <w:rFonts w:hint="eastAsia" w:ascii="仿宋" w:hAnsi="仿宋" w:eastAsia="仿宋" w:cs="仿宋"/>
          <w:color w:val="auto"/>
          <w:sz w:val="28"/>
          <w:szCs w:val="28"/>
          <w:highlight w:val="none"/>
        </w:rPr>
      </w:pPr>
    </w:p>
    <w:p>
      <w:pPr>
        <w:pStyle w:val="8"/>
        <w:rPr>
          <w:rFonts w:hint="eastAsia" w:ascii="仿宋" w:hAnsi="仿宋" w:eastAsia="仿宋" w:cs="仿宋"/>
          <w:color w:val="auto"/>
          <w:sz w:val="32"/>
          <w:szCs w:val="32"/>
          <w:highlight w:val="none"/>
        </w:rPr>
      </w:pPr>
    </w:p>
    <w:p>
      <w:pPr>
        <w:spacing w:after="400" w:line="5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二〇二</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月</w:t>
      </w:r>
    </w:p>
    <w:p>
      <w:pPr>
        <w:spacing w:line="560" w:lineRule="exact"/>
        <w:ind w:firstLine="960" w:firstLineChars="300"/>
        <w:rPr>
          <w:rFonts w:hint="eastAsia" w:ascii="仿宋" w:hAnsi="仿宋" w:eastAsia="仿宋" w:cs="仿宋"/>
          <w:sz w:val="32"/>
          <w:szCs w:val="32"/>
          <w:highlight w:val="none"/>
        </w:rPr>
        <w:sectPr>
          <w:headerReference r:id="rId3" w:type="default"/>
          <w:footerReference r:id="rId4" w:type="default"/>
          <w:pgSz w:w="11922" w:h="16838"/>
          <w:pgMar w:top="1417" w:right="1304" w:bottom="1417" w:left="1304" w:header="397" w:footer="1037" w:gutter="0"/>
          <w:cols w:space="0" w:num="1"/>
          <w:rtlGutter w:val="0"/>
          <w:docGrid w:linePitch="312" w:charSpace="0"/>
        </w:sectPr>
      </w:pPr>
    </w:p>
    <w:p>
      <w:pPr>
        <w:spacing w:line="480" w:lineRule="auto"/>
        <w:jc w:val="center"/>
        <w:rPr>
          <w:rFonts w:hint="eastAsia" w:ascii="仿宋" w:hAnsi="仿宋" w:eastAsia="仿宋" w:cs="仿宋"/>
          <w:sz w:val="28"/>
          <w:szCs w:val="28"/>
          <w:highlight w:val="none"/>
        </w:rPr>
      </w:pPr>
      <w:bookmarkStart w:id="0" w:name="_Toc354491895"/>
      <w:bookmarkStart w:id="1" w:name="_Toc356371429"/>
      <w:bookmarkStart w:id="2" w:name="_Toc359856795"/>
      <w:r>
        <w:rPr>
          <w:rFonts w:hint="eastAsia" w:ascii="仿宋" w:hAnsi="仿宋" w:eastAsia="仿宋" w:cs="仿宋"/>
          <w:sz w:val="28"/>
          <w:szCs w:val="28"/>
          <w:highlight w:val="none"/>
        </w:rPr>
        <w:t>目 录</w:t>
      </w:r>
    </w:p>
    <w:p>
      <w:pPr>
        <w:pStyle w:val="22"/>
        <w:tabs>
          <w:tab w:val="right" w:leader="dot" w:pos="9356"/>
        </w:tabs>
        <w:spacing w:line="48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TOC \o "1-1" \h \u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_Toc26090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第一章 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_Toc26090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2"/>
        <w:tabs>
          <w:tab w:val="right" w:leader="dot" w:pos="9356"/>
        </w:tabs>
        <w:spacing w:line="48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_Toc14604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第二章 投标人须知前附表及投标人须知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_Toc14604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2"/>
        <w:tabs>
          <w:tab w:val="right" w:leader="dot" w:pos="9356"/>
        </w:tabs>
        <w:spacing w:line="48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_Toc8641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第三章 采购内容及要求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_Toc8641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22</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2"/>
        <w:tabs>
          <w:tab w:val="right" w:leader="dot" w:pos="9356"/>
        </w:tabs>
        <w:spacing w:line="48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_Toc29314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rPr>
        <w:t>第四章 合同主要条款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_Toc29314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2"/>
        <w:tabs>
          <w:tab w:val="right" w:leader="dot" w:pos="9356"/>
        </w:tabs>
        <w:spacing w:line="48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_Toc3086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lang w:val="zh-CN"/>
        </w:rPr>
        <w:t>第</w:t>
      </w:r>
      <w:r>
        <w:rPr>
          <w:rFonts w:hint="eastAsia" w:ascii="仿宋" w:hAnsi="仿宋" w:eastAsia="仿宋" w:cs="仿宋"/>
          <w:bCs/>
          <w:sz w:val="28"/>
          <w:szCs w:val="28"/>
          <w:highlight w:val="none"/>
        </w:rPr>
        <w:t>五</w:t>
      </w:r>
      <w:r>
        <w:rPr>
          <w:rFonts w:hint="eastAsia" w:ascii="仿宋" w:hAnsi="仿宋" w:eastAsia="仿宋" w:cs="仿宋"/>
          <w:bCs/>
          <w:sz w:val="28"/>
          <w:szCs w:val="28"/>
          <w:highlight w:val="none"/>
          <w:lang w:val="zh-CN"/>
        </w:rPr>
        <w:t>章</w:t>
      </w:r>
      <w:r>
        <w:rPr>
          <w:rFonts w:hint="eastAsia" w:ascii="仿宋" w:hAnsi="仿宋" w:eastAsia="仿宋" w:cs="仿宋"/>
          <w:bCs/>
          <w:sz w:val="28"/>
          <w:szCs w:val="28"/>
          <w:highlight w:val="none"/>
        </w:rPr>
        <w:t xml:space="preserve"> </w:t>
      </w:r>
      <w:r>
        <w:rPr>
          <w:rFonts w:hint="eastAsia" w:ascii="仿宋" w:hAnsi="仿宋" w:eastAsia="仿宋" w:cs="仿宋"/>
          <w:bCs/>
          <w:sz w:val="28"/>
          <w:szCs w:val="28"/>
          <w:highlight w:val="none"/>
          <w:lang w:val="zh-CN"/>
        </w:rPr>
        <w:t>评标办法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_Toc3086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24</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2"/>
        <w:tabs>
          <w:tab w:val="right" w:leader="dot" w:pos="9356"/>
        </w:tabs>
        <w:spacing w:line="48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_Toc22189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第六章 应提交的有关格式范例</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_Toc22189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26</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spacing w:line="480" w:lineRule="auto"/>
        <w:rPr>
          <w:rFonts w:hint="eastAsia" w:ascii="仿宋" w:hAnsi="仿宋" w:eastAsia="仿宋" w:cs="仿宋"/>
          <w:highlight w:val="none"/>
        </w:rPr>
      </w:pPr>
      <w:r>
        <w:rPr>
          <w:rFonts w:hint="eastAsia" w:ascii="仿宋" w:hAnsi="仿宋" w:eastAsia="仿宋" w:cs="仿宋"/>
          <w:sz w:val="28"/>
          <w:szCs w:val="28"/>
          <w:highlight w:val="none"/>
        </w:rPr>
        <w:fldChar w:fldCharType="end"/>
      </w:r>
    </w:p>
    <w:p>
      <w:pPr>
        <w:spacing w:line="360" w:lineRule="auto"/>
        <w:jc w:val="center"/>
        <w:outlineLvl w:val="0"/>
        <w:rPr>
          <w:rFonts w:hint="eastAsia" w:ascii="仿宋" w:hAnsi="仿宋" w:eastAsia="仿宋" w:cs="仿宋"/>
          <w:b/>
          <w:color w:val="auto"/>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ab/>
      </w:r>
      <w:bookmarkStart w:id="3" w:name="_Toc26090"/>
      <w:bookmarkStart w:id="4" w:name="_Toc31513"/>
      <w:bookmarkStart w:id="5" w:name="_Toc9434"/>
      <w:bookmarkStart w:id="6" w:name="_Toc12539"/>
      <w:bookmarkStart w:id="7" w:name="_Toc12795"/>
      <w:bookmarkStart w:id="8" w:name="_Toc7546"/>
      <w:bookmarkStart w:id="9" w:name="_Toc7205"/>
      <w:bookmarkStart w:id="10" w:name="_Toc20797"/>
      <w:bookmarkStart w:id="11" w:name="_Toc19326"/>
      <w:bookmarkStart w:id="12" w:name="_Toc16075"/>
      <w:r>
        <w:rPr>
          <w:rFonts w:hint="eastAsia" w:ascii="仿宋" w:hAnsi="仿宋" w:eastAsia="仿宋" w:cs="仿宋"/>
          <w:b/>
          <w:color w:val="auto"/>
          <w:sz w:val="28"/>
          <w:szCs w:val="28"/>
          <w:highlight w:val="none"/>
        </w:rPr>
        <w:t xml:space="preserve">第一章  </w:t>
      </w:r>
      <w:bookmarkEnd w:id="0"/>
      <w:r>
        <w:rPr>
          <w:rFonts w:hint="eastAsia" w:ascii="仿宋" w:hAnsi="仿宋" w:eastAsia="仿宋" w:cs="仿宋"/>
          <w:b/>
          <w:color w:val="auto"/>
          <w:sz w:val="28"/>
          <w:szCs w:val="28"/>
          <w:highlight w:val="none"/>
        </w:rPr>
        <w:t>招标公告</w:t>
      </w:r>
      <w:bookmarkEnd w:id="1"/>
      <w:bookmarkEnd w:id="2"/>
      <w:bookmarkEnd w:id="3"/>
      <w:bookmarkEnd w:id="4"/>
      <w:bookmarkEnd w:id="5"/>
      <w:bookmarkEnd w:id="6"/>
      <w:bookmarkEnd w:id="7"/>
      <w:bookmarkEnd w:id="8"/>
      <w:bookmarkEnd w:id="9"/>
      <w:bookmarkEnd w:id="10"/>
      <w:bookmarkEnd w:id="11"/>
      <w:bookmarkEnd w:id="12"/>
    </w:p>
    <w:p>
      <w:pPr>
        <w:keepNext w:val="0"/>
        <w:keepLines w:val="0"/>
        <w:pageBreakBefore w:val="0"/>
        <w:widowControl w:val="0"/>
        <w:kinsoku/>
        <w:overflowPunct/>
        <w:topLinePunct w:val="0"/>
        <w:autoSpaceDE/>
        <w:autoSpaceDN/>
        <w:bidi w:val="0"/>
        <w:adjustRightInd/>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根据《衢州市国有企业采购管理办法（试行）》（衢国资发【2020】36号）等有关规定，衢州市两山工程咨询管理有限公司受</w:t>
      </w:r>
      <w:r>
        <w:rPr>
          <w:rFonts w:hint="eastAsia" w:ascii="仿宋" w:hAnsi="仿宋" w:eastAsia="仿宋" w:cs="仿宋"/>
          <w:color w:val="auto"/>
          <w:sz w:val="24"/>
          <w:szCs w:val="24"/>
          <w:highlight w:val="none"/>
          <w:lang w:val="en-US" w:eastAsia="zh-CN"/>
        </w:rPr>
        <w:t>浙江衢州公交集团有限公司</w:t>
      </w:r>
      <w:r>
        <w:rPr>
          <w:rFonts w:hint="eastAsia" w:ascii="仿宋" w:hAnsi="仿宋" w:eastAsia="仿宋" w:cs="仿宋"/>
          <w:color w:val="auto"/>
          <w:sz w:val="24"/>
          <w:szCs w:val="24"/>
          <w:highlight w:val="none"/>
        </w:rPr>
        <w:t>委托，就</w:t>
      </w:r>
      <w:r>
        <w:rPr>
          <w:rFonts w:hint="eastAsia" w:ascii="仿宋" w:hAnsi="仿宋" w:eastAsia="仿宋" w:cs="仿宋"/>
          <w:color w:val="auto"/>
          <w:sz w:val="24"/>
          <w:szCs w:val="24"/>
          <w:highlight w:val="none"/>
          <w:lang w:eastAsia="zh-CN"/>
        </w:rPr>
        <w:t>会议室设备采购项目</w:t>
      </w:r>
      <w:r>
        <w:rPr>
          <w:rFonts w:hint="eastAsia" w:ascii="仿宋" w:hAnsi="仿宋" w:eastAsia="仿宋" w:cs="仿宋"/>
          <w:color w:val="auto"/>
          <w:sz w:val="24"/>
          <w:szCs w:val="24"/>
          <w:highlight w:val="none"/>
        </w:rPr>
        <w:t>进行公开招标，欢迎国内合格的投标人前来投标。</w:t>
      </w:r>
    </w:p>
    <w:p>
      <w:pPr>
        <w:keepNext w:val="0"/>
        <w:keepLines w:val="0"/>
        <w:pageBreakBefore w:val="0"/>
        <w:widowControl w:val="0"/>
        <w:kinsoku/>
        <w:overflowPunct/>
        <w:topLinePunct w:val="0"/>
        <w:autoSpaceDE/>
        <w:autoSpaceDN/>
        <w:bidi w:val="0"/>
        <w:adjustRightInd/>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一、项目编号：</w:t>
      </w:r>
      <w:r>
        <w:rPr>
          <w:rFonts w:hint="eastAsia" w:ascii="仿宋" w:hAnsi="仿宋" w:eastAsia="仿宋" w:cs="仿宋"/>
          <w:color w:val="auto"/>
          <w:sz w:val="24"/>
          <w:szCs w:val="24"/>
          <w:highlight w:val="none"/>
          <w:lang w:eastAsia="zh-CN"/>
        </w:rPr>
        <w:t>LSZX-2024-CG0148</w:t>
      </w:r>
    </w:p>
    <w:p>
      <w:pPr>
        <w:keepNext w:val="0"/>
        <w:keepLines w:val="0"/>
        <w:pageBreakBefore w:val="0"/>
        <w:widowControl w:val="0"/>
        <w:kinsoku/>
        <w:overflowPunct/>
        <w:topLinePunct w:val="0"/>
        <w:autoSpaceDE/>
        <w:autoSpaceDN/>
        <w:bidi w:val="0"/>
        <w:adjustRightInd/>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二、项目名称：</w:t>
      </w:r>
      <w:r>
        <w:rPr>
          <w:rFonts w:hint="eastAsia" w:ascii="仿宋" w:hAnsi="仿宋" w:eastAsia="仿宋" w:cs="仿宋"/>
          <w:color w:val="auto"/>
          <w:sz w:val="24"/>
          <w:szCs w:val="24"/>
          <w:highlight w:val="none"/>
          <w:lang w:eastAsia="zh-CN"/>
        </w:rPr>
        <w:t>会议室设备采购项目</w:t>
      </w:r>
    </w:p>
    <w:p>
      <w:pPr>
        <w:keepNext w:val="0"/>
        <w:keepLines w:val="0"/>
        <w:pageBreakBefore w:val="0"/>
        <w:widowControl w:val="0"/>
        <w:kinsoku/>
        <w:overflowPunct/>
        <w:topLinePunct w:val="0"/>
        <w:autoSpaceDE/>
        <w:autoSpaceDN/>
        <w:bidi w:val="0"/>
        <w:adjustRightInd/>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三、采购方式：公开招标</w:t>
      </w:r>
    </w:p>
    <w:p>
      <w:pPr>
        <w:keepNext w:val="0"/>
        <w:keepLines w:val="0"/>
        <w:pageBreakBefore w:val="0"/>
        <w:widowControl w:val="0"/>
        <w:kinsoku/>
        <w:overflowPunct/>
        <w:topLinePunct w:val="0"/>
        <w:autoSpaceDE/>
        <w:autoSpaceDN/>
        <w:bidi w:val="0"/>
        <w:adjustRightInd/>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四、招标内容及要求：</w:t>
      </w:r>
    </w:p>
    <w:tbl>
      <w:tblPr>
        <w:tblStyle w:val="16"/>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735"/>
        <w:gridCol w:w="1519"/>
        <w:gridCol w:w="196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96" w:type="dxa"/>
            <w:noWrap w:val="0"/>
            <w:vAlign w:val="center"/>
          </w:tcPr>
          <w:p>
            <w:pPr>
              <w:keepNext w:val="0"/>
              <w:keepLines w:val="0"/>
              <w:pageBreakBefore w:val="0"/>
              <w:widowControl w:val="0"/>
              <w:tabs>
                <w:tab w:val="left" w:pos="720"/>
              </w:tabs>
              <w:kinsoku/>
              <w:overflowPunct/>
              <w:topLinePunct w:val="0"/>
              <w:autoSpaceDE/>
              <w:autoSpaceDN/>
              <w:bidi w:val="0"/>
              <w:adjustRightInd/>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735" w:type="dxa"/>
            <w:noWrap w:val="0"/>
            <w:vAlign w:val="center"/>
          </w:tcPr>
          <w:p>
            <w:pPr>
              <w:keepNext w:val="0"/>
              <w:keepLines w:val="0"/>
              <w:pageBreakBefore w:val="0"/>
              <w:widowControl w:val="0"/>
              <w:tabs>
                <w:tab w:val="left" w:pos="720"/>
              </w:tabs>
              <w:kinsoku/>
              <w:overflowPunct/>
              <w:topLinePunct w:val="0"/>
              <w:autoSpaceDE/>
              <w:autoSpaceDN/>
              <w:bidi w:val="0"/>
              <w:adjustRightInd/>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采购内容</w:t>
            </w:r>
          </w:p>
        </w:tc>
        <w:tc>
          <w:tcPr>
            <w:tcW w:w="1519" w:type="dxa"/>
            <w:noWrap w:val="0"/>
            <w:vAlign w:val="center"/>
          </w:tcPr>
          <w:p>
            <w:pPr>
              <w:keepNext w:val="0"/>
              <w:keepLines w:val="0"/>
              <w:pageBreakBefore w:val="0"/>
              <w:widowControl w:val="0"/>
              <w:tabs>
                <w:tab w:val="left" w:pos="720"/>
              </w:tabs>
              <w:kinsoku/>
              <w:overflowPunct/>
              <w:topLinePunct w:val="0"/>
              <w:autoSpaceDE/>
              <w:autoSpaceDN/>
              <w:bidi w:val="0"/>
              <w:adjustRightInd/>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数量/单位</w:t>
            </w:r>
          </w:p>
        </w:tc>
        <w:tc>
          <w:tcPr>
            <w:tcW w:w="1967" w:type="dxa"/>
            <w:noWrap w:val="0"/>
            <w:vAlign w:val="center"/>
          </w:tcPr>
          <w:p>
            <w:pPr>
              <w:keepNext w:val="0"/>
              <w:keepLines w:val="0"/>
              <w:pageBreakBefore w:val="0"/>
              <w:widowControl w:val="0"/>
              <w:tabs>
                <w:tab w:val="left" w:pos="720"/>
              </w:tabs>
              <w:kinsoku/>
              <w:overflowPunct/>
              <w:topLinePunct w:val="0"/>
              <w:autoSpaceDE/>
              <w:autoSpaceDN/>
              <w:bidi w:val="0"/>
              <w:adjustRightInd/>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采购预算价</w:t>
            </w:r>
          </w:p>
        </w:tc>
        <w:tc>
          <w:tcPr>
            <w:tcW w:w="1717" w:type="dxa"/>
            <w:noWrap w:val="0"/>
            <w:vAlign w:val="center"/>
          </w:tcPr>
          <w:p>
            <w:pPr>
              <w:keepNext w:val="0"/>
              <w:keepLines w:val="0"/>
              <w:pageBreakBefore w:val="0"/>
              <w:widowControl w:val="0"/>
              <w:tabs>
                <w:tab w:val="left" w:pos="720"/>
              </w:tabs>
              <w:kinsoku/>
              <w:overflowPunct/>
              <w:topLinePunct w:val="0"/>
              <w:autoSpaceDE/>
              <w:autoSpaceDN/>
              <w:bidi w:val="0"/>
              <w:adjustRightInd/>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6" w:type="dxa"/>
            <w:noWrap w:val="0"/>
            <w:vAlign w:val="center"/>
          </w:tcPr>
          <w:p>
            <w:pPr>
              <w:keepNext w:val="0"/>
              <w:keepLines w:val="0"/>
              <w:pageBreakBefore w:val="0"/>
              <w:widowControl w:val="0"/>
              <w:kinsoku/>
              <w:overflowPunct/>
              <w:topLinePunct w:val="0"/>
              <w:autoSpaceDE/>
              <w:autoSpaceDN/>
              <w:bidi w:val="0"/>
              <w:adjustRightInd/>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735" w:type="dxa"/>
            <w:noWrap w:val="0"/>
            <w:vAlign w:val="center"/>
          </w:tcPr>
          <w:p>
            <w:pPr>
              <w:keepNext w:val="0"/>
              <w:keepLines w:val="0"/>
              <w:pageBreakBefore w:val="0"/>
              <w:widowControl w:val="0"/>
              <w:kinsoku/>
              <w:overflowPunct/>
              <w:topLinePunct w:val="0"/>
              <w:autoSpaceDE/>
              <w:autoSpaceDN/>
              <w:bidi w:val="0"/>
              <w:adjustRightInd/>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会议室设备采购</w:t>
            </w:r>
          </w:p>
        </w:tc>
        <w:tc>
          <w:tcPr>
            <w:tcW w:w="1519" w:type="dxa"/>
            <w:noWrap w:val="0"/>
            <w:vAlign w:val="center"/>
          </w:tcPr>
          <w:p>
            <w:pPr>
              <w:keepNext w:val="0"/>
              <w:keepLines w:val="0"/>
              <w:pageBreakBefore w:val="0"/>
              <w:widowControl w:val="0"/>
              <w:kinsoku/>
              <w:overflowPunct/>
              <w:topLinePunct w:val="0"/>
              <w:autoSpaceDE/>
              <w:autoSpaceDN/>
              <w:bidi w:val="0"/>
              <w:adjustRightInd/>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w:t>
            </w:r>
          </w:p>
        </w:tc>
        <w:tc>
          <w:tcPr>
            <w:tcW w:w="1967" w:type="dxa"/>
            <w:noWrap w:val="0"/>
            <w:vAlign w:val="center"/>
          </w:tcPr>
          <w:p>
            <w:pPr>
              <w:keepNext w:val="0"/>
              <w:keepLines w:val="0"/>
              <w:pageBreakBefore w:val="0"/>
              <w:widowControl w:val="0"/>
              <w:kinsoku/>
              <w:overflowPunct/>
              <w:topLinePunct w:val="0"/>
              <w:autoSpaceDE/>
              <w:autoSpaceDN/>
              <w:bidi w:val="0"/>
              <w:adjustRightInd/>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97992.67</w:t>
            </w:r>
            <w:r>
              <w:rPr>
                <w:rFonts w:hint="eastAsia" w:ascii="仿宋" w:hAnsi="仿宋" w:eastAsia="仿宋" w:cs="仿宋"/>
                <w:color w:val="auto"/>
                <w:sz w:val="24"/>
                <w:szCs w:val="24"/>
                <w:highlight w:val="none"/>
              </w:rPr>
              <w:t>元</w:t>
            </w:r>
          </w:p>
        </w:tc>
        <w:tc>
          <w:tcPr>
            <w:tcW w:w="1717" w:type="dxa"/>
            <w:noWrap w:val="0"/>
            <w:vAlign w:val="center"/>
          </w:tcPr>
          <w:p>
            <w:pPr>
              <w:keepNext w:val="0"/>
              <w:keepLines w:val="0"/>
              <w:pageBreakBefore w:val="0"/>
              <w:widowControl w:val="0"/>
              <w:kinsoku/>
              <w:overflowPunct/>
              <w:topLinePunct w:val="0"/>
              <w:autoSpaceDE/>
              <w:autoSpaceDN/>
              <w:bidi w:val="0"/>
              <w:adjustRightInd/>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97992.67</w:t>
            </w:r>
            <w:r>
              <w:rPr>
                <w:rFonts w:hint="eastAsia" w:ascii="仿宋" w:hAnsi="仿宋" w:eastAsia="仿宋" w:cs="仿宋"/>
                <w:color w:val="auto"/>
                <w:sz w:val="24"/>
                <w:szCs w:val="24"/>
                <w:highlight w:val="none"/>
              </w:rPr>
              <w:t>元</w:t>
            </w:r>
          </w:p>
        </w:tc>
      </w:tr>
    </w:tbl>
    <w:p>
      <w:pPr>
        <w:keepNext w:val="0"/>
        <w:keepLines w:val="0"/>
        <w:pageBreakBefore w:val="0"/>
        <w:widowControl w:val="0"/>
        <w:kinsoku/>
        <w:overflowPunct/>
        <w:topLinePunct w:val="0"/>
        <w:autoSpaceDE/>
        <w:autoSpaceDN/>
        <w:bidi w:val="0"/>
        <w:adjustRightInd/>
        <w:snapToGrid w:val="0"/>
        <w:spacing w:line="360" w:lineRule="auto"/>
        <w:ind w:firstLine="480" w:firstLineChars="200"/>
        <w:rPr>
          <w:rFonts w:hint="eastAsia" w:ascii="仿宋" w:hAnsi="仿宋" w:eastAsia="仿宋" w:cs="仿宋"/>
          <w:color w:val="FF0000"/>
          <w:sz w:val="24"/>
          <w:szCs w:val="24"/>
          <w:highlight w:val="none"/>
          <w:u w:val="single"/>
        </w:rPr>
      </w:pPr>
      <w:r>
        <w:rPr>
          <w:rFonts w:hint="eastAsia" w:ascii="仿宋" w:hAnsi="仿宋" w:eastAsia="仿宋" w:cs="仿宋"/>
          <w:color w:val="auto"/>
          <w:sz w:val="24"/>
          <w:szCs w:val="24"/>
          <w:highlight w:val="none"/>
        </w:rPr>
        <w:t>五、合同履约期限：</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合同签订后,</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30日历天</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内,将货物运达</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指定地</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并完成安装调试。</w:t>
      </w:r>
    </w:p>
    <w:p>
      <w:pPr>
        <w:keepNext w:val="0"/>
        <w:keepLines w:val="0"/>
        <w:pageBreakBefore w:val="0"/>
        <w:widowControl w:val="0"/>
        <w:kinsoku/>
        <w:overflowPunct/>
        <w:topLinePunct w:val="0"/>
        <w:autoSpaceDE/>
        <w:autoSpaceDN/>
        <w:bidi w:val="0"/>
        <w:adjustRightInd/>
        <w:snapToGrid w:val="0"/>
        <w:spacing w:before="0"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六、投标人资格要求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pPr>
        <w:keepNext w:val="0"/>
        <w:keepLines w:val="0"/>
        <w:pageBreakBefore w:val="0"/>
        <w:widowControl w:val="0"/>
        <w:kinsoku/>
        <w:overflowPunct/>
        <w:topLinePunct w:val="0"/>
        <w:autoSpaceDE/>
        <w:autoSpaceDN/>
        <w:bidi w:val="0"/>
        <w:adjustRightIn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符合《</w:t>
      </w:r>
      <w:r>
        <w:rPr>
          <w:rFonts w:hint="eastAsia" w:ascii="仿宋" w:hAnsi="仿宋" w:eastAsia="仿宋" w:cs="仿宋"/>
          <w:color w:val="auto"/>
          <w:sz w:val="24"/>
          <w:szCs w:val="24"/>
          <w:highlight w:val="none"/>
        </w:rPr>
        <w:t>衢州市国有企业采购管理办法（试行）</w:t>
      </w:r>
      <w:r>
        <w:rPr>
          <w:rFonts w:hint="eastAsia" w:ascii="仿宋" w:hAnsi="仿宋" w:eastAsia="仿宋" w:cs="仿宋"/>
          <w:color w:val="auto"/>
          <w:sz w:val="24"/>
          <w:szCs w:val="24"/>
          <w:highlight w:val="none"/>
          <w:lang w:val="zh-CN"/>
        </w:rPr>
        <w:t>》第</w:t>
      </w:r>
      <w:r>
        <w:rPr>
          <w:rFonts w:hint="eastAsia" w:ascii="仿宋" w:hAnsi="仿宋" w:eastAsia="仿宋" w:cs="仿宋"/>
          <w:color w:val="auto"/>
          <w:sz w:val="24"/>
          <w:szCs w:val="24"/>
          <w:highlight w:val="none"/>
        </w:rPr>
        <w:t>十五</w:t>
      </w:r>
      <w:r>
        <w:rPr>
          <w:rFonts w:hint="eastAsia" w:ascii="仿宋" w:hAnsi="仿宋" w:eastAsia="仿宋" w:cs="仿宋"/>
          <w:color w:val="auto"/>
          <w:sz w:val="24"/>
          <w:szCs w:val="24"/>
          <w:highlight w:val="none"/>
          <w:lang w:val="zh-CN"/>
        </w:rPr>
        <w:t>条</w:t>
      </w:r>
      <w:r>
        <w:rPr>
          <w:rFonts w:hint="eastAsia" w:ascii="仿宋" w:hAnsi="仿宋" w:eastAsia="仿宋" w:cs="仿宋"/>
          <w:color w:val="auto"/>
          <w:sz w:val="24"/>
          <w:szCs w:val="24"/>
          <w:highlight w:val="none"/>
        </w:rPr>
        <w:t>规定：</w:t>
      </w:r>
    </w:p>
    <w:p>
      <w:pPr>
        <w:keepNext w:val="0"/>
        <w:keepLines w:val="0"/>
        <w:pageBreakBefore w:val="0"/>
        <w:widowControl w:val="0"/>
        <w:kinsoku/>
        <w:overflowPunct/>
        <w:topLinePunct w:val="0"/>
        <w:autoSpaceDE/>
        <w:autoSpaceDN/>
        <w:bidi w:val="0"/>
        <w:adjustRightIn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具有独立承担民事责任的能力；</w:t>
      </w:r>
    </w:p>
    <w:p>
      <w:pPr>
        <w:keepNext w:val="0"/>
        <w:keepLines w:val="0"/>
        <w:pageBreakBefore w:val="0"/>
        <w:widowControl w:val="0"/>
        <w:kinsoku/>
        <w:overflowPunct/>
        <w:topLinePunct w:val="0"/>
        <w:autoSpaceDE/>
        <w:autoSpaceDN/>
        <w:bidi w:val="0"/>
        <w:adjustRightIn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具有良好的商业信誉和健全的财务会计制度；</w:t>
      </w:r>
    </w:p>
    <w:p>
      <w:pPr>
        <w:keepNext w:val="0"/>
        <w:keepLines w:val="0"/>
        <w:pageBreakBefore w:val="0"/>
        <w:widowControl w:val="0"/>
        <w:kinsoku/>
        <w:overflowPunct/>
        <w:topLinePunct w:val="0"/>
        <w:autoSpaceDE/>
        <w:autoSpaceDN/>
        <w:bidi w:val="0"/>
        <w:adjustRightIn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3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⑶</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具有履行合同所必需的设备、技术和售后保障等能力；</w:t>
      </w:r>
    </w:p>
    <w:p>
      <w:pPr>
        <w:keepNext w:val="0"/>
        <w:keepLines w:val="0"/>
        <w:pageBreakBefore w:val="0"/>
        <w:widowControl w:val="0"/>
        <w:kinsoku/>
        <w:overflowPunct/>
        <w:topLinePunct w:val="0"/>
        <w:autoSpaceDE/>
        <w:autoSpaceDN/>
        <w:bidi w:val="0"/>
        <w:adjustRightIn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4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⑷</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有依法缴纳税收和社会保障资金的良好记录；</w:t>
      </w:r>
    </w:p>
    <w:p>
      <w:pPr>
        <w:keepNext w:val="0"/>
        <w:keepLines w:val="0"/>
        <w:pageBreakBefore w:val="0"/>
        <w:widowControl w:val="0"/>
        <w:kinsoku/>
        <w:overflowPunct/>
        <w:topLinePunct w:val="0"/>
        <w:autoSpaceDE/>
        <w:autoSpaceDN/>
        <w:bidi w:val="0"/>
        <w:adjustRightIn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5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⑸</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参加采购、招投标等活动前3年内，在经营活动中没有重大违法记录和行贿犯罪记录；</w:t>
      </w:r>
    </w:p>
    <w:p>
      <w:pPr>
        <w:keepNext w:val="0"/>
        <w:keepLines w:val="0"/>
        <w:pageBreakBefore w:val="0"/>
        <w:widowControl w:val="0"/>
        <w:kinsoku/>
        <w:overflowPunct/>
        <w:topLinePunct w:val="0"/>
        <w:autoSpaceDE/>
        <w:autoSpaceDN/>
        <w:bidi w:val="0"/>
        <w:adjustRightIn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6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⑹</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具有法律法规和规范性文件规定的其他条件。</w:t>
      </w:r>
    </w:p>
    <w:p>
      <w:pPr>
        <w:keepNext w:val="0"/>
        <w:keepLines w:val="0"/>
        <w:pageBreakBefore w:val="0"/>
        <w:widowControl w:val="0"/>
        <w:kinsoku/>
        <w:overflowPunct/>
        <w:topLinePunct w:val="0"/>
        <w:autoSpaceDE/>
        <w:autoSpaceDN/>
        <w:bidi w:val="0"/>
        <w:adjustRightInd/>
        <w:spacing w:line="360" w:lineRule="auto"/>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且必须为未被列入</w:t>
      </w: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lang w:val="zh-CN"/>
        </w:rPr>
        <w:t>信用中国</w:t>
      </w: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lang w:val="zh-CN"/>
        </w:rPr>
        <w:t>网站（</w:t>
      </w:r>
      <w:r>
        <w:rPr>
          <w:rFonts w:hint="eastAsia" w:ascii="仿宋" w:hAnsi="仿宋" w:eastAsia="仿宋" w:cs="仿宋"/>
          <w:color w:val="auto"/>
          <w:sz w:val="24"/>
          <w:szCs w:val="24"/>
          <w:highlight w:val="none"/>
          <w:lang w:val="en-US"/>
        </w:rPr>
        <w:t>www.creditchina.gov.cn)</w:t>
      </w:r>
      <w:r>
        <w:rPr>
          <w:rFonts w:hint="eastAsia" w:ascii="仿宋" w:hAnsi="仿宋" w:eastAsia="仿宋" w:cs="仿宋"/>
          <w:color w:val="auto"/>
          <w:sz w:val="24"/>
          <w:szCs w:val="24"/>
          <w:highlight w:val="none"/>
          <w:lang w:val="zh-CN"/>
        </w:rPr>
        <w:t>、中国政府采购网（</w:t>
      </w:r>
      <w:r>
        <w:rPr>
          <w:rFonts w:hint="eastAsia" w:ascii="仿宋" w:hAnsi="仿宋" w:eastAsia="仿宋" w:cs="仿宋"/>
          <w:color w:val="auto"/>
          <w:sz w:val="24"/>
          <w:szCs w:val="24"/>
          <w:highlight w:val="none"/>
          <w:lang w:val="en-US"/>
        </w:rPr>
        <w:t>www.ccgp.gov.cn</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渠道信用记录失信被执行人、重大税收违法案件当事人名单、政府采购严重违法失信行为记录名单的投标人。</w:t>
      </w:r>
    </w:p>
    <w:p>
      <w:pPr>
        <w:keepNext w:val="0"/>
        <w:keepLines w:val="0"/>
        <w:pageBreakBefore w:val="0"/>
        <w:widowControl w:val="0"/>
        <w:kinsoku/>
        <w:overflowPunct/>
        <w:topLinePunct w:val="0"/>
        <w:autoSpaceDE/>
        <w:autoSpaceDN/>
        <w:bidi w:val="0"/>
        <w:adjustRightIn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3.单位负责人为同一人或者存在直接控股、管理关系的不同供应商，不得参加同一合同项下的采购活动。</w:t>
      </w:r>
    </w:p>
    <w:p>
      <w:pPr>
        <w:keepNext w:val="0"/>
        <w:keepLines w:val="0"/>
        <w:pageBreakBefore w:val="0"/>
        <w:widowControl w:val="0"/>
        <w:kinsoku/>
        <w:overflowPunct/>
        <w:topLinePunct w:val="0"/>
        <w:autoSpaceDE/>
        <w:autoSpaceDN/>
        <w:bidi w:val="0"/>
        <w:adjustRightInd/>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4.投标人自投标截止时间前三年内无行贿犯罪记录（</w:t>
      </w:r>
      <w:r>
        <w:rPr>
          <w:rFonts w:hint="eastAsia" w:ascii="仿宋" w:hAnsi="仿宋" w:eastAsia="仿宋" w:cs="仿宋"/>
          <w:color w:val="auto"/>
          <w:sz w:val="24"/>
          <w:szCs w:val="24"/>
          <w:highlight w:val="none"/>
          <w:lang w:val="en-US" w:eastAsia="zh-CN"/>
        </w:rPr>
        <w:t>以</w:t>
      </w:r>
      <w:r>
        <w:rPr>
          <w:rFonts w:hint="eastAsia" w:ascii="仿宋" w:hAnsi="仿宋" w:eastAsia="仿宋" w:cs="仿宋"/>
          <w:color w:val="auto"/>
          <w:sz w:val="24"/>
          <w:szCs w:val="24"/>
          <w:highlight w:val="none"/>
        </w:rPr>
        <w:t>中国裁判文书网（网址：</w:t>
      </w:r>
      <w:r>
        <w:rPr>
          <w:rFonts w:hint="eastAsia" w:ascii="仿宋" w:hAnsi="仿宋" w:eastAsia="仿宋" w:cs="仿宋"/>
          <w:color w:val="auto"/>
          <w:sz w:val="24"/>
          <w:szCs w:val="24"/>
          <w:highlight w:val="none"/>
          <w:lang w:eastAsia="zh-CN"/>
        </w:rPr>
        <w:t>http:</w:t>
      </w:r>
      <w:r>
        <w:rPr>
          <w:rFonts w:hint="eastAsia" w:ascii="仿宋" w:hAnsi="仿宋" w:eastAsia="仿宋" w:cs="仿宋"/>
          <w:color w:val="auto"/>
          <w:sz w:val="24"/>
          <w:szCs w:val="24"/>
          <w:highlight w:val="none"/>
        </w:rPr>
        <w:t>//wenshu.court.gov.cn/）查询</w:t>
      </w:r>
      <w:r>
        <w:rPr>
          <w:rFonts w:hint="eastAsia" w:ascii="仿宋" w:hAnsi="仿宋" w:eastAsia="仿宋" w:cs="仿宋"/>
          <w:color w:val="auto"/>
          <w:sz w:val="24"/>
          <w:szCs w:val="24"/>
          <w:highlight w:val="none"/>
          <w:lang w:val="en-US" w:eastAsia="zh-CN"/>
        </w:rPr>
        <w:t>到的行贿判决书为准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p>
      <w:pPr>
        <w:keepNext w:val="0"/>
        <w:keepLines w:val="0"/>
        <w:pageBreakBefore w:val="0"/>
        <w:widowControl w:val="0"/>
        <w:kinsoku/>
        <w:overflowPunct/>
        <w:topLinePunct w:val="0"/>
        <w:autoSpaceDE/>
        <w:autoSpaceDN/>
        <w:bidi w:val="0"/>
        <w:adjustRightIn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本项目的特定资格要求：</w:t>
      </w:r>
      <w:r>
        <w:rPr>
          <w:rFonts w:hint="eastAsia" w:ascii="仿宋" w:hAnsi="仿宋" w:eastAsia="仿宋" w:cs="仿宋"/>
          <w:color w:val="auto"/>
          <w:sz w:val="24"/>
          <w:szCs w:val="24"/>
          <w:highlight w:val="none"/>
          <w:u w:val="single"/>
          <w:lang w:val="en-US" w:eastAsia="zh-CN"/>
        </w:rPr>
        <w:t xml:space="preserve"> 无 </w:t>
      </w:r>
      <w:r>
        <w:rPr>
          <w:rFonts w:hint="eastAsia" w:ascii="仿宋" w:hAnsi="仿宋" w:eastAsia="仿宋" w:cs="仿宋"/>
          <w:color w:val="auto"/>
          <w:sz w:val="24"/>
          <w:szCs w:val="24"/>
          <w:highlight w:val="none"/>
          <w:u w:val="single"/>
        </w:rPr>
        <w:t>。</w:t>
      </w:r>
    </w:p>
    <w:p>
      <w:pPr>
        <w:keepNext w:val="0"/>
        <w:keepLines w:val="0"/>
        <w:pageBreakBefore w:val="0"/>
        <w:widowControl w:val="0"/>
        <w:kinsoku/>
        <w:overflowPunct/>
        <w:topLinePunct w:val="0"/>
        <w:autoSpaceDE/>
        <w:autoSpaceDN/>
        <w:bidi w:val="0"/>
        <w:adjustRightIn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.本项目不接受联合体投标。</w:t>
      </w:r>
    </w:p>
    <w:p>
      <w:pPr>
        <w:pStyle w:val="23"/>
        <w:keepNext w:val="0"/>
        <w:keepLines w:val="0"/>
        <w:pageBreakBefore w:val="0"/>
        <w:widowControl w:val="0"/>
        <w:kinsoku/>
        <w:overflowPunct/>
        <w:topLinePunct w:val="0"/>
        <w:autoSpaceDE/>
        <w:autoSpaceDN/>
        <w:bidi w:val="0"/>
        <w:adjustRightInd/>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七、采购文件获取</w:t>
      </w:r>
    </w:p>
    <w:p>
      <w:pPr>
        <w:keepNext w:val="0"/>
        <w:keepLines w:val="0"/>
        <w:pageBreakBefore w:val="0"/>
        <w:widowControl w:val="0"/>
        <w:kinsoku/>
        <w:wordWrap w:val="0"/>
        <w:overflowPunct/>
        <w:topLinePunct w:val="0"/>
        <w:autoSpaceDE/>
        <w:autoSpaceDN/>
        <w:bidi w:val="0"/>
        <w:adjustRightInd/>
        <w:spacing w:line="360" w:lineRule="auto"/>
        <w:ind w:firstLine="480" w:firstLineChars="200"/>
        <w:rPr>
          <w:rFonts w:hint="eastAsia" w:ascii="仿宋" w:hAnsi="仿宋" w:eastAsia="仿宋" w:cs="仿宋"/>
          <w:color w:val="auto"/>
          <w:sz w:val="24"/>
          <w:szCs w:val="24"/>
          <w:highlight w:val="none"/>
        </w:rPr>
      </w:pPr>
      <w:bookmarkStart w:id="13" w:name="_Toc18255"/>
      <w:r>
        <w:rPr>
          <w:rFonts w:hint="eastAsia" w:ascii="仿宋" w:hAnsi="仿宋" w:eastAsia="仿宋" w:cs="仿宋"/>
          <w:color w:val="auto"/>
          <w:sz w:val="24"/>
          <w:szCs w:val="24"/>
          <w:highlight w:val="none"/>
        </w:rPr>
        <w:t>1.供应商按下述要求获取采购文件，如未在“衢州市阳光交易服务平台”系统内完成相关流程，引起投标无效，责任自负。</w:t>
      </w:r>
    </w:p>
    <w:p>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采购文件实行“衢州市阳光交易服务平台”在线申请获取采购文件，不提供纸质版采购文件。供应商获取采购文件前应先办理“衢州市阳光交易服务平台”供应商信息入库备案同时办理介质CA锁。完成介质CA锁办理预计</w:t>
      </w:r>
      <w:r>
        <w:rPr>
          <w:rFonts w:hint="eastAsia" w:ascii="仿宋" w:hAnsi="仿宋" w:eastAsia="仿宋" w:cs="仿宋"/>
          <w:color w:val="auto"/>
          <w:sz w:val="24"/>
          <w:szCs w:val="24"/>
          <w:highlight w:val="none"/>
          <w:lang w:eastAsia="zh-CN"/>
        </w:rPr>
        <w:t>2～3个</w:t>
      </w:r>
      <w:r>
        <w:rPr>
          <w:rFonts w:hint="eastAsia" w:ascii="仿宋" w:hAnsi="仿宋" w:eastAsia="仿宋" w:cs="仿宋"/>
          <w:color w:val="auto"/>
          <w:sz w:val="24"/>
          <w:szCs w:val="24"/>
          <w:highlight w:val="none"/>
        </w:rPr>
        <w:t>工作日，建议各供应商合理安排办理时间。</w:t>
      </w:r>
    </w:p>
    <w:p>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3.潜在供应商登录衢州市阳光交易服务平台（https://qzygjy.com/）办理供应商信息入库备案事宜，注册公示24小时无异议后入库。</w:t>
      </w:r>
    </w:p>
    <w:p>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办理企业信息入库的供应商，根据显示界面提示免费注册，填写、上传相关主体信息，带“*”号的必填，填好后“提交”。供应商须提前申领介质CA锁及电子签章，具体操作可参考衢州市阳光交易服务平台交易乙方操作手册。</w:t>
      </w:r>
    </w:p>
    <w:p>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CA办理：</w:t>
      </w:r>
    </w:p>
    <w:p>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天谷CA：</w:t>
      </w:r>
      <w:r>
        <w:rPr>
          <w:rStyle w:val="20"/>
          <w:rFonts w:hint="eastAsia" w:ascii="仿宋" w:hAnsi="仿宋" w:eastAsia="仿宋" w:cs="仿宋"/>
          <w:color w:val="auto"/>
          <w:sz w:val="24"/>
          <w:szCs w:val="24"/>
          <w:highlight w:val="none"/>
        </w:rPr>
        <w:t>http://www.tseal.cn/tcloud/common.xhtml?projId=307</w:t>
      </w:r>
      <w:r>
        <w:rPr>
          <w:rFonts w:hint="eastAsia" w:ascii="仿宋" w:hAnsi="仿宋" w:eastAsia="仿宋" w:cs="仿宋"/>
          <w:color w:val="auto"/>
          <w:sz w:val="24"/>
          <w:szCs w:val="24"/>
          <w:highlight w:val="none"/>
        </w:rPr>
        <w:t xml:space="preserve"> 天谷联系电话：400-087-8198</w:t>
      </w:r>
    </w:p>
    <w:p>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6.采购文件下载：</w:t>
      </w:r>
    </w:p>
    <w:p>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潜在供应商登录“衢州市阳光交易服务平台”，在线申请获取采购文件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选择采购公告，进入项目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选择“交易前阶段”进入项目在获取采购文件菜单中选择项目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选择“交易文件下载”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投标文件的解密：供应商按照平台提示和采购文件的规定在30分钟内于衢州市阳光交易服务平台不见面开标大厅完成在线解密。</w:t>
      </w:r>
    </w:p>
    <w:p>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7.具体操作指南：详见衢州市阳光交易服务平台“办事指南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衢州市阳光交易服务平台供应商操作手册”，如遇平台技术问题详询4009980000。</w:t>
      </w:r>
    </w:p>
    <w:p>
      <w:pPr>
        <w:wordWrap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8.投标工具</w:t>
      </w:r>
    </w:p>
    <w:p>
      <w:pPr>
        <w:pStyle w:val="8"/>
        <w:wordWrap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投标文件制作软件（衢州</w:t>
      </w:r>
      <w:r>
        <w:rPr>
          <w:rFonts w:hint="eastAsia" w:ascii="仿宋" w:hAnsi="仿宋" w:eastAsia="仿宋" w:cs="仿宋"/>
          <w:color w:val="auto"/>
          <w:sz w:val="24"/>
          <w:szCs w:val="24"/>
          <w:highlight w:val="none"/>
          <w:lang w:val="en-US" w:eastAsia="zh-CN"/>
        </w:rPr>
        <w:t>产交</w:t>
      </w:r>
      <w:r>
        <w:rPr>
          <w:rFonts w:hint="eastAsia" w:ascii="仿宋" w:hAnsi="仿宋" w:eastAsia="仿宋" w:cs="仿宋"/>
          <w:color w:val="auto"/>
          <w:sz w:val="24"/>
          <w:szCs w:val="24"/>
          <w:highlight w:val="none"/>
        </w:rPr>
        <w:t>版），下载地址：</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"https://download.bqpoint.com/download/downloaddetail.html?SourceFrom=Ztb&amp;ZtbSoftXiaQuCode=112601&amp;ZtbSoftType=tballinclusive" </w:instrText>
      </w:r>
      <w:r>
        <w:rPr>
          <w:rFonts w:hint="eastAsia" w:ascii="仿宋" w:hAnsi="仿宋" w:eastAsia="仿宋" w:cs="仿宋"/>
          <w:color w:val="auto"/>
          <w:sz w:val="24"/>
          <w:szCs w:val="24"/>
          <w:highlight w:val="none"/>
        </w:rPr>
        <w:fldChar w:fldCharType="separate"/>
      </w:r>
      <w:r>
        <w:rPr>
          <w:rStyle w:val="20"/>
          <w:rFonts w:hint="eastAsia" w:ascii="仿宋" w:hAnsi="仿宋" w:eastAsia="仿宋" w:cs="仿宋"/>
          <w:color w:val="auto"/>
          <w:sz w:val="24"/>
          <w:szCs w:val="24"/>
          <w:highlight w:val="none"/>
        </w:rPr>
        <w:t>https://download.bqpoint.com/download/downloaddetail.html?SourceFrom=Ztb&amp;ZtbSoftXiaQuCode=112601&amp;ZtbSoftType=tballinclusive</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xml:space="preserve">  联系方式，新点软件客服电话：4009980000</w:t>
      </w:r>
      <w:r>
        <w:rPr>
          <w:rFonts w:hint="eastAsia" w:ascii="仿宋" w:hAnsi="仿宋" w:eastAsia="仿宋" w:cs="仿宋"/>
          <w:color w:val="auto"/>
          <w:sz w:val="24"/>
          <w:szCs w:val="24"/>
          <w:highlight w:val="none"/>
          <w:lang w:val="en-US" w:eastAsia="zh-CN"/>
        </w:rPr>
        <w:t>/0570-3878007。</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八、提交投标文件截止时间、开标时间和地点</w:t>
      </w:r>
      <w:bookmarkEnd w:id="13"/>
    </w:p>
    <w:p>
      <w:pPr>
        <w:pStyle w:val="24"/>
        <w:adjustRightInd w:val="0"/>
        <w:snapToGrid w:val="0"/>
        <w:spacing w:line="360" w:lineRule="auto"/>
        <w:ind w:firstLine="480" w:firstLineChars="200"/>
        <w:rPr>
          <w:rFonts w:hint="eastAsia" w:ascii="仿宋" w:hAnsi="仿宋" w:eastAsia="仿宋" w:cs="仿宋"/>
          <w:color w:val="auto"/>
          <w:sz w:val="24"/>
          <w:szCs w:val="24"/>
          <w:highlight w:val="none"/>
        </w:rPr>
      </w:pPr>
      <w:bookmarkStart w:id="14" w:name="_Toc35393625"/>
      <w:bookmarkStart w:id="15" w:name="_Toc8106"/>
      <w:bookmarkStart w:id="16" w:name="_Toc28359084"/>
      <w:bookmarkStart w:id="17" w:name="_Toc28359007"/>
      <w:bookmarkStart w:id="18" w:name="_Toc35393794"/>
      <w:r>
        <w:rPr>
          <w:rFonts w:hint="eastAsia" w:ascii="仿宋" w:hAnsi="仿宋" w:eastAsia="仿宋" w:cs="仿宋"/>
          <w:color w:val="auto"/>
          <w:sz w:val="24"/>
          <w:szCs w:val="24"/>
          <w:highlight w:val="none"/>
        </w:rPr>
        <w:t>1.投标文件递交截止时间（开标时间，下同）：</w:t>
      </w:r>
      <w:r>
        <w:rPr>
          <w:rFonts w:hint="eastAsia" w:ascii="仿宋" w:hAnsi="仿宋" w:eastAsia="仿宋" w:cs="仿宋"/>
          <w:color w:val="FF0000"/>
          <w:sz w:val="24"/>
          <w:szCs w:val="24"/>
          <w:highlight w:val="none"/>
          <w:lang w:eastAsia="zh-CN"/>
        </w:rPr>
        <w:t>202</w:t>
      </w:r>
      <w:r>
        <w:rPr>
          <w:rFonts w:hint="eastAsia" w:ascii="仿宋" w:hAnsi="仿宋" w:eastAsia="仿宋" w:cs="仿宋"/>
          <w:color w:val="FF0000"/>
          <w:sz w:val="24"/>
          <w:szCs w:val="24"/>
          <w:highlight w:val="none"/>
          <w:lang w:val="en-US" w:eastAsia="zh-CN"/>
        </w:rPr>
        <w:t>4</w:t>
      </w:r>
      <w:r>
        <w:rPr>
          <w:rFonts w:hint="eastAsia" w:ascii="仿宋" w:hAnsi="仿宋" w:eastAsia="仿宋" w:cs="仿宋"/>
          <w:color w:val="FF0000"/>
          <w:sz w:val="24"/>
          <w:szCs w:val="24"/>
          <w:highlight w:val="none"/>
          <w:lang w:eastAsia="zh-CN"/>
        </w:rPr>
        <w:t>年</w:t>
      </w:r>
      <w:r>
        <w:rPr>
          <w:rFonts w:hint="eastAsia" w:ascii="仿宋" w:hAnsi="仿宋" w:eastAsia="仿宋" w:cs="仿宋"/>
          <w:color w:val="FF0000"/>
          <w:sz w:val="24"/>
          <w:szCs w:val="24"/>
          <w:highlight w:val="none"/>
          <w:lang w:val="en-US" w:eastAsia="zh-CN"/>
        </w:rPr>
        <w:t>7</w:t>
      </w:r>
      <w:r>
        <w:rPr>
          <w:rFonts w:hint="eastAsia" w:ascii="仿宋" w:hAnsi="仿宋" w:eastAsia="仿宋" w:cs="仿宋"/>
          <w:color w:val="FF0000"/>
          <w:sz w:val="24"/>
          <w:szCs w:val="24"/>
          <w:highlight w:val="none"/>
          <w:lang w:eastAsia="zh-CN"/>
        </w:rPr>
        <w:t>月</w:t>
      </w:r>
      <w:r>
        <w:rPr>
          <w:rFonts w:hint="eastAsia" w:ascii="仿宋" w:hAnsi="仿宋" w:eastAsia="仿宋" w:cs="仿宋"/>
          <w:color w:val="FF0000"/>
          <w:sz w:val="24"/>
          <w:szCs w:val="24"/>
          <w:highlight w:val="none"/>
          <w:lang w:val="en-US" w:eastAsia="zh-CN"/>
        </w:rPr>
        <w:t>12</w:t>
      </w:r>
      <w:r>
        <w:rPr>
          <w:rFonts w:hint="eastAsia" w:ascii="仿宋" w:hAnsi="仿宋" w:eastAsia="仿宋" w:cs="仿宋"/>
          <w:color w:val="FF0000"/>
          <w:sz w:val="24"/>
          <w:szCs w:val="24"/>
          <w:highlight w:val="none"/>
          <w:lang w:eastAsia="zh-CN"/>
        </w:rPr>
        <w:t>日</w:t>
      </w:r>
      <w:r>
        <w:rPr>
          <w:rFonts w:hint="eastAsia" w:ascii="仿宋" w:hAnsi="仿宋" w:eastAsia="仿宋" w:cs="仿宋"/>
          <w:color w:val="FF0000"/>
          <w:sz w:val="24"/>
          <w:szCs w:val="24"/>
          <w:highlight w:val="none"/>
          <w:lang w:val="en-US" w:eastAsia="zh-CN"/>
        </w:rPr>
        <w:t>9</w:t>
      </w:r>
      <w:r>
        <w:rPr>
          <w:rFonts w:hint="eastAsia" w:ascii="仿宋" w:hAnsi="仿宋" w:eastAsia="仿宋" w:cs="仿宋"/>
          <w:color w:val="FF0000"/>
          <w:sz w:val="24"/>
          <w:szCs w:val="24"/>
          <w:highlight w:val="none"/>
          <w:lang w:eastAsia="zh-CN"/>
        </w:rPr>
        <w:t>时</w:t>
      </w:r>
      <w:r>
        <w:rPr>
          <w:rFonts w:hint="eastAsia" w:ascii="仿宋" w:hAnsi="仿宋" w:eastAsia="仿宋" w:cs="仿宋"/>
          <w:color w:val="FF0000"/>
          <w:sz w:val="24"/>
          <w:szCs w:val="24"/>
          <w:highlight w:val="none"/>
          <w:lang w:val="en-US" w:eastAsia="zh-CN"/>
        </w:rPr>
        <w:t>30</w:t>
      </w:r>
      <w:r>
        <w:rPr>
          <w:rFonts w:hint="eastAsia" w:ascii="仿宋" w:hAnsi="仿宋" w:eastAsia="仿宋" w:cs="仿宋"/>
          <w:color w:val="FF0000"/>
          <w:sz w:val="24"/>
          <w:szCs w:val="24"/>
          <w:highlight w:val="none"/>
          <w:lang w:eastAsia="zh-CN"/>
        </w:rPr>
        <w:t>分</w:t>
      </w:r>
      <w:r>
        <w:rPr>
          <w:rFonts w:hint="eastAsia" w:ascii="仿宋" w:hAnsi="仿宋" w:eastAsia="仿宋" w:cs="仿宋"/>
          <w:color w:val="FF0000"/>
          <w:sz w:val="24"/>
          <w:szCs w:val="24"/>
          <w:highlight w:val="none"/>
          <w:lang w:val="en-US" w:eastAsia="zh-CN"/>
        </w:rPr>
        <w:t>00</w:t>
      </w:r>
      <w:r>
        <w:rPr>
          <w:rFonts w:hint="eastAsia" w:ascii="仿宋" w:hAnsi="仿宋" w:eastAsia="仿宋" w:cs="仿宋"/>
          <w:color w:val="FF0000"/>
          <w:sz w:val="24"/>
          <w:szCs w:val="24"/>
          <w:highlight w:val="none"/>
          <w:lang w:eastAsia="zh-CN"/>
        </w:rPr>
        <w:t>秒</w:t>
      </w:r>
      <w:r>
        <w:rPr>
          <w:rFonts w:hint="eastAsia" w:ascii="仿宋" w:hAnsi="仿宋" w:eastAsia="仿宋" w:cs="仿宋"/>
          <w:color w:val="auto"/>
          <w:sz w:val="24"/>
          <w:szCs w:val="24"/>
          <w:highlight w:val="none"/>
        </w:rPr>
        <w:t>。</w:t>
      </w:r>
    </w:p>
    <w:p>
      <w:pPr>
        <w:pStyle w:val="24"/>
        <w:widowControl/>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2.投标文件递交方式：电子投标文件采用网上递交的方式，上传至衢州市阳光交易服务平台（https://qzygjy.com/TPBidder/memberLogin?type=13）。</w:t>
      </w:r>
    </w:p>
    <w:p>
      <w:pPr>
        <w:pStyle w:val="24"/>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3.网上开标地点：衢州市阳光交易服务平台不见面开标大厅（网址：https://qzygjy.com/BidOpening/bidopeninghallaction/hall/login）。操作手册见官网首页下载中心。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九、公告期限</w:t>
      </w:r>
      <w:bookmarkEnd w:id="14"/>
      <w:bookmarkEnd w:id="15"/>
      <w:bookmarkEnd w:id="16"/>
      <w:bookmarkEnd w:id="17"/>
      <w:bookmarkEnd w:id="18"/>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bookmarkStart w:id="19" w:name="_Toc35393626"/>
      <w:bookmarkStart w:id="20" w:name="_Toc35393795"/>
    </w:p>
    <w:p>
      <w:pPr>
        <w:spacing w:line="360" w:lineRule="auto"/>
        <w:ind w:firstLine="480" w:firstLineChars="200"/>
        <w:rPr>
          <w:rFonts w:hint="eastAsia" w:ascii="仿宋" w:hAnsi="仿宋" w:eastAsia="仿宋" w:cs="仿宋"/>
          <w:color w:val="auto"/>
          <w:sz w:val="24"/>
          <w:szCs w:val="24"/>
          <w:highlight w:val="none"/>
        </w:rPr>
      </w:pPr>
      <w:bookmarkStart w:id="21" w:name="_Toc2707"/>
      <w:r>
        <w:rPr>
          <w:rFonts w:hint="eastAsia" w:ascii="仿宋" w:hAnsi="仿宋" w:eastAsia="仿宋" w:cs="仿宋"/>
          <w:color w:val="auto"/>
          <w:sz w:val="24"/>
          <w:szCs w:val="24"/>
          <w:highlight w:val="none"/>
        </w:rPr>
        <w:t>十、其他补充事宜</w:t>
      </w:r>
      <w:bookmarkEnd w:id="19"/>
      <w:bookmarkEnd w:id="20"/>
      <w:bookmarkEnd w:id="21"/>
    </w:p>
    <w:p>
      <w:pPr>
        <w:spacing w:after="0" w:line="360" w:lineRule="auto"/>
        <w:ind w:firstLine="480" w:firstLineChars="200"/>
        <w:rPr>
          <w:rFonts w:hint="eastAsia" w:ascii="仿宋" w:hAnsi="仿宋" w:eastAsia="仿宋" w:cs="仿宋"/>
          <w:color w:val="auto"/>
          <w:sz w:val="24"/>
          <w:szCs w:val="24"/>
          <w:highlight w:val="none"/>
        </w:rPr>
      </w:pPr>
      <w:bookmarkStart w:id="22" w:name="_Toc28359008"/>
      <w:bookmarkStart w:id="23" w:name="_Toc27354"/>
      <w:bookmarkStart w:id="24" w:name="_Toc28359085"/>
      <w:bookmarkStart w:id="25" w:name="_Toc35393627"/>
      <w:bookmarkStart w:id="26" w:name="_Toc35393796"/>
      <w:r>
        <w:rPr>
          <w:rFonts w:hint="eastAsia" w:ascii="仿宋" w:hAnsi="仿宋" w:eastAsia="仿宋" w:cs="仿宋"/>
          <w:color w:val="auto"/>
          <w:sz w:val="24"/>
          <w:szCs w:val="24"/>
          <w:highlight w:val="none"/>
        </w:rPr>
        <w:t>供应商认为</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使自己的权益受到损害的，可以自获取</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之日或者</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公告期限届满之日（公告期限届满后获取</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监督管理部门投诉。</w:t>
      </w:r>
    </w:p>
    <w:p>
      <w:pPr>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十一、对本次招标提出询问，请按以下方式联系。</w:t>
      </w:r>
      <w:bookmarkEnd w:id="22"/>
      <w:bookmarkEnd w:id="23"/>
      <w:bookmarkEnd w:id="24"/>
      <w:bookmarkEnd w:id="25"/>
      <w:bookmarkEnd w:id="26"/>
    </w:p>
    <w:p>
      <w:pPr>
        <w:shd w:val="clear" w:color="auto" w:fill="FFFFFF"/>
        <w:adjustRightInd w:val="0"/>
        <w:snapToGrid w:val="0"/>
        <w:spacing w:line="360" w:lineRule="auto"/>
        <w:ind w:right="0" w:firstLine="480" w:firstLineChars="200"/>
        <w:rPr>
          <w:rFonts w:hint="eastAsia" w:ascii="仿宋" w:hAnsi="仿宋" w:eastAsia="仿宋" w:cs="仿宋"/>
          <w:color w:val="auto"/>
          <w:sz w:val="24"/>
          <w:szCs w:val="24"/>
          <w:highlight w:val="none"/>
          <w:lang w:val="en-US" w:eastAsia="zh-CN"/>
        </w:rPr>
      </w:pPr>
      <w:bookmarkStart w:id="27" w:name="_Toc30865"/>
      <w:bookmarkStart w:id="28" w:name="_Toc28415"/>
      <w:bookmarkStart w:id="29" w:name="_Toc31185"/>
      <w:r>
        <w:rPr>
          <w:rFonts w:hint="eastAsia" w:ascii="仿宋" w:hAnsi="仿宋" w:eastAsia="仿宋" w:cs="仿宋"/>
          <w:color w:val="auto"/>
          <w:sz w:val="24"/>
          <w:szCs w:val="24"/>
          <w:highlight w:val="none"/>
        </w:rPr>
        <w:t>1.采购人名称：</w:t>
      </w:r>
      <w:bookmarkEnd w:id="27"/>
      <w:bookmarkEnd w:id="28"/>
      <w:bookmarkEnd w:id="29"/>
      <w:r>
        <w:rPr>
          <w:rFonts w:hint="eastAsia" w:ascii="仿宋" w:hAnsi="仿宋" w:eastAsia="仿宋" w:cs="仿宋"/>
          <w:color w:val="auto"/>
          <w:sz w:val="24"/>
          <w:szCs w:val="24"/>
          <w:highlight w:val="none"/>
          <w:lang w:val="en-US" w:eastAsia="zh-CN"/>
        </w:rPr>
        <w:t>浙江衢州公交集团有限公司</w:t>
      </w:r>
      <w:bookmarkStart w:id="30" w:name="_Toc27795"/>
      <w:bookmarkStart w:id="31" w:name="_Toc16385"/>
      <w:bookmarkStart w:id="32" w:name="_Toc32078"/>
    </w:p>
    <w:p>
      <w:pPr>
        <w:shd w:val="clear" w:color="auto" w:fill="FFFFFF"/>
        <w:adjustRightInd w:val="0"/>
        <w:snapToGrid w:val="0"/>
        <w:spacing w:line="360" w:lineRule="auto"/>
        <w:ind w:right="0" w:firstLine="480" w:firstLineChars="200"/>
        <w:rPr>
          <w:rFonts w:hint="eastAsia" w:ascii="仿宋" w:hAnsi="仿宋" w:eastAsia="仿宋" w:cs="仿宋"/>
          <w:color w:val="auto"/>
          <w:sz w:val="24"/>
          <w:szCs w:val="24"/>
          <w:highlight w:val="none"/>
        </w:rPr>
      </w:pPr>
      <w:bookmarkStart w:id="203" w:name="_GoBack"/>
      <w:bookmarkEnd w:id="203"/>
      <w:r>
        <w:rPr>
          <w:rFonts w:hint="eastAsia" w:ascii="仿宋" w:hAnsi="仿宋" w:eastAsia="仿宋" w:cs="仿宋"/>
          <w:color w:val="auto"/>
          <w:sz w:val="24"/>
          <w:szCs w:val="24"/>
          <w:highlight w:val="none"/>
        </w:rPr>
        <w:t>联系人：夏先生      联系方式：0570-8881640</w:t>
      </w:r>
    </w:p>
    <w:p>
      <w:pPr>
        <w:pStyle w:val="8"/>
        <w:spacing w:after="0" w:line="360" w:lineRule="auto"/>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地址：浙江省衢州市新安路31号</w:t>
      </w:r>
    </w:p>
    <w:p>
      <w:pPr>
        <w:shd w:val="clear" w:color="auto" w:fill="FFFFFF"/>
        <w:adjustRightInd w:val="0"/>
        <w:snapToGrid w:val="0"/>
        <w:spacing w:line="360" w:lineRule="auto"/>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2.采购代理机构名称：</w:t>
      </w:r>
      <w:bookmarkEnd w:id="30"/>
      <w:r>
        <w:rPr>
          <w:rFonts w:hint="eastAsia" w:ascii="仿宋" w:hAnsi="仿宋" w:eastAsia="仿宋" w:cs="仿宋"/>
          <w:color w:val="auto"/>
          <w:sz w:val="24"/>
          <w:szCs w:val="24"/>
          <w:highlight w:val="none"/>
        </w:rPr>
        <w:t>衢州市两山工程咨询管理有限公司</w:t>
      </w:r>
      <w:bookmarkEnd w:id="31"/>
      <w:bookmarkEnd w:id="32"/>
    </w:p>
    <w:p>
      <w:pPr>
        <w:shd w:val="clear" w:color="auto" w:fill="FFFFFF"/>
        <w:adjustRightInd w:val="0"/>
        <w:snapToGrid w:val="0"/>
        <w:spacing w:line="360" w:lineRule="auto"/>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杨先生      联系方式：0570-3810879</w:t>
      </w:r>
    </w:p>
    <w:p>
      <w:pPr>
        <w:shd w:val="clear" w:color="auto" w:fill="FFFFFF"/>
        <w:adjustRightInd w:val="0"/>
        <w:snapToGrid w:val="0"/>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地址：衢州市柯城区芹江东路288号衢时代创新大厦1号楼14楼1416室 </w:t>
      </w:r>
    </w:p>
    <w:p>
      <w:pPr>
        <w:shd w:val="clear" w:color="auto" w:fill="FFFFFF"/>
        <w:adjustRightInd w:val="0"/>
        <w:snapToGrid w:val="0"/>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3.监督</w:t>
      </w:r>
      <w:r>
        <w:rPr>
          <w:rFonts w:hint="eastAsia" w:ascii="仿宋" w:hAnsi="仿宋" w:eastAsia="仿宋" w:cs="仿宋"/>
          <w:color w:val="auto"/>
          <w:sz w:val="24"/>
          <w:szCs w:val="24"/>
          <w:highlight w:val="none"/>
          <w:lang w:val="en-US" w:eastAsia="zh-CN"/>
        </w:rPr>
        <w:t>部门名称：</w:t>
      </w:r>
      <w:r>
        <w:rPr>
          <w:rFonts w:hint="eastAsia" w:ascii="仿宋" w:hAnsi="仿宋" w:eastAsia="仿宋" w:cs="仿宋"/>
          <w:color w:val="auto"/>
          <w:sz w:val="24"/>
          <w:szCs w:val="24"/>
          <w:highlight w:val="none"/>
          <w:lang w:eastAsia="zh-CN"/>
        </w:rPr>
        <w:t>衢州市衢通发展集团有限公司纪检监察室</w:t>
      </w:r>
    </w:p>
    <w:p>
      <w:pPr>
        <w:shd w:val="clear" w:color="auto" w:fill="FFFFFF"/>
        <w:adjustRightInd w:val="0"/>
        <w:snapToGrid w:val="0"/>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联系人：何先生      联系方式：0570-3087905</w:t>
      </w:r>
    </w:p>
    <w:p>
      <w:pPr>
        <w:wordWrap/>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地址：浙江省衢州市柯城区白云街道花园中大道86号</w:t>
      </w:r>
    </w:p>
    <w:p>
      <w:pPr>
        <w:wordWrap w:val="0"/>
        <w:spacing w:line="360" w:lineRule="auto"/>
        <w:ind w:firstLine="1200" w:firstLineChars="5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wordWrap w:val="0"/>
        <w:spacing w:line="360" w:lineRule="auto"/>
        <w:ind w:firstLine="1200" w:firstLineChars="500"/>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浙江衢州公交集团有限公司</w:t>
      </w:r>
    </w:p>
    <w:p>
      <w:pPr>
        <w:wordWrap w:val="0"/>
        <w:spacing w:line="360" w:lineRule="auto"/>
        <w:ind w:firstLine="1200" w:firstLineChars="5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衢州市两山工程咨询管理有限公司</w:t>
      </w:r>
    </w:p>
    <w:p>
      <w:pPr>
        <w:spacing w:line="360" w:lineRule="auto"/>
        <w:ind w:firstLine="1200" w:firstLineChars="500"/>
        <w:jc w:val="right"/>
        <w:rPr>
          <w:rFonts w:hint="eastAsia" w:ascii="仿宋" w:hAnsi="仿宋" w:eastAsia="仿宋" w:cs="仿宋"/>
          <w:color w:val="auto"/>
          <w:sz w:val="24"/>
          <w:szCs w:val="24"/>
          <w:highlight w:val="none"/>
        </w:rPr>
      </w:pPr>
      <w:r>
        <w:rPr>
          <w:rFonts w:hint="eastAsia" w:ascii="仿宋" w:hAnsi="仿宋" w:eastAsia="仿宋" w:cs="仿宋"/>
          <w:color w:val="FF0000"/>
          <w:sz w:val="24"/>
          <w:szCs w:val="24"/>
          <w:highlight w:val="none"/>
          <w:lang w:val="en-US" w:eastAsia="zh-CN"/>
        </w:rPr>
        <w:t>2024</w:t>
      </w:r>
      <w:r>
        <w:rPr>
          <w:rFonts w:hint="eastAsia" w:ascii="仿宋" w:hAnsi="仿宋" w:eastAsia="仿宋" w:cs="仿宋"/>
          <w:color w:val="FF0000"/>
          <w:sz w:val="24"/>
          <w:szCs w:val="24"/>
          <w:highlight w:val="none"/>
        </w:rPr>
        <w:t>年</w:t>
      </w:r>
      <w:r>
        <w:rPr>
          <w:rFonts w:hint="eastAsia" w:ascii="仿宋" w:hAnsi="仿宋" w:eastAsia="仿宋" w:cs="仿宋"/>
          <w:color w:val="FF0000"/>
          <w:sz w:val="24"/>
          <w:szCs w:val="24"/>
          <w:highlight w:val="none"/>
          <w:lang w:val="en-US" w:eastAsia="zh-CN"/>
        </w:rPr>
        <w:t>6</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21</w:t>
      </w:r>
      <w:r>
        <w:rPr>
          <w:rFonts w:hint="eastAsia" w:ascii="仿宋" w:hAnsi="仿宋" w:eastAsia="仿宋" w:cs="仿宋"/>
          <w:color w:val="FF0000"/>
          <w:sz w:val="24"/>
          <w:szCs w:val="24"/>
          <w:highlight w:val="none"/>
        </w:rPr>
        <w:t>日</w:t>
      </w:r>
      <w:bookmarkStart w:id="33" w:name="_Toc322352982"/>
      <w:bookmarkStart w:id="34" w:name="_Toc354491896"/>
      <w:bookmarkStart w:id="35" w:name="_Toc11025"/>
      <w:bookmarkStart w:id="36" w:name="_Toc6627"/>
      <w:bookmarkStart w:id="37" w:name="_Toc3369"/>
      <w:bookmarkStart w:id="38" w:name="_Toc13606"/>
      <w:bookmarkStart w:id="39" w:name="_Toc14604"/>
      <w:bookmarkStart w:id="40" w:name="_Toc9607"/>
      <w:bookmarkStart w:id="41" w:name="_Toc11502"/>
      <w:bookmarkStart w:id="42" w:name="_Toc356371430"/>
      <w:bookmarkStart w:id="43" w:name="_Toc27281"/>
      <w:bookmarkStart w:id="44" w:name="_Toc14605"/>
      <w:bookmarkStart w:id="45" w:name="_Toc32614"/>
      <w:bookmarkStart w:id="46" w:name="_Toc359856796"/>
    </w:p>
    <w:p>
      <w:pPr>
        <w:spacing w:beforeLines="0" w:afterLines="0" w:line="360" w:lineRule="auto"/>
        <w:ind w:firstLine="0" w:firstLineChars="0"/>
        <w:jc w:val="center"/>
        <w:rPr>
          <w:rFonts w:hint="eastAsia" w:ascii="仿宋" w:hAnsi="仿宋" w:eastAsia="仿宋" w:cs="仿宋"/>
          <w:b/>
          <w:color w:val="auto"/>
          <w:sz w:val="28"/>
          <w:szCs w:val="28"/>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28"/>
          <w:szCs w:val="28"/>
          <w:highlight w:val="none"/>
        </w:rPr>
        <w:t>第二章  投标</w:t>
      </w:r>
      <w:bookmarkEnd w:id="33"/>
      <w:bookmarkEnd w:id="34"/>
      <w:r>
        <w:rPr>
          <w:rFonts w:hint="eastAsia" w:ascii="仿宋" w:hAnsi="仿宋" w:eastAsia="仿宋" w:cs="仿宋"/>
          <w:b/>
          <w:color w:val="auto"/>
          <w:sz w:val="28"/>
          <w:szCs w:val="28"/>
          <w:highlight w:val="none"/>
        </w:rPr>
        <w:t>人须知前附表及投标人须知</w:t>
      </w:r>
      <w:bookmarkEnd w:id="35"/>
      <w:bookmarkEnd w:id="36"/>
      <w:bookmarkEnd w:id="37"/>
      <w:bookmarkEnd w:id="38"/>
      <w:bookmarkEnd w:id="39"/>
      <w:bookmarkEnd w:id="40"/>
      <w:bookmarkEnd w:id="41"/>
      <w:bookmarkEnd w:id="42"/>
      <w:bookmarkEnd w:id="43"/>
      <w:bookmarkEnd w:id="44"/>
      <w:bookmarkEnd w:id="45"/>
      <w:bookmarkEnd w:id="46"/>
    </w:p>
    <w:p>
      <w:pPr>
        <w:numPr>
          <w:ilvl w:val="0"/>
          <w:numId w:val="0"/>
        </w:numPr>
        <w:snapToGrid w:val="0"/>
        <w:spacing w:before="0" w:beforeLines="0" w:after="0" w:afterLines="0" w:line="360" w:lineRule="auto"/>
        <w:ind w:firstLine="562" w:firstLineChars="200"/>
        <w:jc w:val="left"/>
        <w:outlineLvl w:val="1"/>
        <w:rPr>
          <w:rFonts w:hint="eastAsia" w:ascii="仿宋" w:hAnsi="仿宋" w:eastAsia="仿宋" w:cs="仿宋"/>
          <w:b/>
          <w:color w:val="auto"/>
          <w:sz w:val="28"/>
          <w:szCs w:val="28"/>
          <w:highlight w:val="none"/>
        </w:rPr>
      </w:pPr>
      <w:bookmarkStart w:id="47" w:name="_Toc12214"/>
      <w:bookmarkStart w:id="48" w:name="_Toc359856797"/>
      <w:bookmarkStart w:id="49" w:name="_Toc25378"/>
      <w:bookmarkStart w:id="50" w:name="_Toc3387"/>
      <w:bookmarkStart w:id="51" w:name="_Toc356371431"/>
      <w:bookmarkStart w:id="52" w:name="_Toc503"/>
      <w:r>
        <w:rPr>
          <w:rFonts w:hint="eastAsia" w:ascii="仿宋" w:hAnsi="仿宋" w:eastAsia="仿宋" w:cs="仿宋"/>
          <w:b/>
          <w:color w:val="auto"/>
          <w:kern w:val="2"/>
          <w:sz w:val="28"/>
          <w:szCs w:val="28"/>
          <w:highlight w:val="none"/>
          <w:lang w:val="en-US" w:eastAsia="zh-CN" w:bidi="ar-SA"/>
        </w:rPr>
        <w:t>一、</w:t>
      </w:r>
      <w:r>
        <w:rPr>
          <w:rFonts w:hint="eastAsia" w:ascii="仿宋" w:hAnsi="仿宋" w:eastAsia="仿宋" w:cs="仿宋"/>
          <w:b/>
          <w:color w:val="auto"/>
          <w:sz w:val="28"/>
          <w:szCs w:val="28"/>
          <w:highlight w:val="none"/>
        </w:rPr>
        <w:t>投标人须知前附表</w:t>
      </w:r>
      <w:bookmarkEnd w:id="47"/>
      <w:bookmarkEnd w:id="48"/>
      <w:bookmarkEnd w:id="49"/>
      <w:bookmarkEnd w:id="50"/>
      <w:bookmarkEnd w:id="51"/>
      <w:bookmarkEnd w:id="52"/>
    </w:p>
    <w:tbl>
      <w:tblPr>
        <w:tblStyle w:val="16"/>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327"/>
        <w:gridCol w:w="6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9"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color w:val="auto"/>
                <w:sz w:val="24"/>
                <w:szCs w:val="24"/>
                <w:highlight w:val="none"/>
              </w:rPr>
            </w:pPr>
            <w:bookmarkStart w:id="53" w:name="_Toc359856798"/>
            <w:bookmarkStart w:id="54" w:name="_Toc356371433"/>
            <w:bookmarkStart w:id="55" w:name="_Toc7610"/>
            <w:r>
              <w:rPr>
                <w:rFonts w:hint="eastAsia" w:ascii="仿宋" w:hAnsi="仿宋" w:eastAsia="仿宋" w:cs="仿宋"/>
                <w:color w:val="auto"/>
                <w:sz w:val="24"/>
                <w:szCs w:val="24"/>
                <w:highlight w:val="none"/>
              </w:rPr>
              <w:t>序号</w:t>
            </w:r>
          </w:p>
        </w:tc>
        <w:tc>
          <w:tcPr>
            <w:tcW w:w="2327"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c>
          <w:tcPr>
            <w:tcW w:w="6269" w:type="dxa"/>
            <w:noWrap w:val="0"/>
            <w:vAlign w:val="center"/>
          </w:tcPr>
          <w:p>
            <w:pPr>
              <w:keepNext w:val="0"/>
              <w:keepLines w:val="0"/>
              <w:pageBreakBefore w:val="0"/>
              <w:widowControl w:val="0"/>
              <w:kinsoku/>
              <w:wordWrap/>
              <w:overflowPunct/>
              <w:topLinePunct w:val="0"/>
              <w:bidi w:val="0"/>
              <w:spacing w:line="48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9" w:type="dxa"/>
            <w:noWrap w:val="0"/>
            <w:vAlign w:val="center"/>
          </w:tcPr>
          <w:p>
            <w:pPr>
              <w:keepNext w:val="0"/>
              <w:keepLines w:val="0"/>
              <w:pageBreakBefore w:val="0"/>
              <w:widowControl w:val="0"/>
              <w:numPr>
                <w:ilvl w:val="0"/>
                <w:numId w:val="0"/>
              </w:numPr>
              <w:kinsoku/>
              <w:wordWrap/>
              <w:overflowPunct/>
              <w:topLinePunct w:val="0"/>
              <w:bidi w:val="0"/>
              <w:spacing w:line="480" w:lineRule="exact"/>
              <w:ind w:lef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w:t>
            </w:r>
          </w:p>
        </w:tc>
        <w:tc>
          <w:tcPr>
            <w:tcW w:w="2327"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269" w:type="dxa"/>
            <w:noWrap w:val="0"/>
            <w:vAlign w:val="center"/>
          </w:tcPr>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会议室设备采购</w:t>
            </w:r>
            <w:r>
              <w:rPr>
                <w:rFonts w:hint="eastAsia" w:ascii="仿宋" w:hAnsi="仿宋" w:eastAsia="仿宋" w:cs="仿宋"/>
                <w:color w:val="auto"/>
                <w:sz w:val="24"/>
                <w:szCs w:val="24"/>
                <w:highlight w:val="none"/>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99" w:type="dxa"/>
            <w:noWrap w:val="0"/>
            <w:vAlign w:val="center"/>
          </w:tcPr>
          <w:p>
            <w:pPr>
              <w:keepNext w:val="0"/>
              <w:keepLines w:val="0"/>
              <w:pageBreakBefore w:val="0"/>
              <w:widowControl w:val="0"/>
              <w:numPr>
                <w:ilvl w:val="0"/>
                <w:numId w:val="0"/>
              </w:numPr>
              <w:kinsoku/>
              <w:wordWrap/>
              <w:overflowPunct/>
              <w:topLinePunct w:val="0"/>
              <w:bidi w:val="0"/>
              <w:spacing w:line="480" w:lineRule="exact"/>
              <w:ind w:lef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p>
        </w:tc>
        <w:tc>
          <w:tcPr>
            <w:tcW w:w="2327"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p>
        </w:tc>
        <w:tc>
          <w:tcPr>
            <w:tcW w:w="6269" w:type="dxa"/>
            <w:noWrap w:val="0"/>
            <w:vAlign w:val="center"/>
          </w:tcPr>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97992.67</w:t>
            </w:r>
            <w:r>
              <w:rPr>
                <w:rFonts w:hint="eastAsia" w:ascii="仿宋" w:hAnsi="仿宋" w:eastAsia="仿宋" w:cs="仿宋"/>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99" w:type="dxa"/>
            <w:noWrap w:val="0"/>
            <w:vAlign w:val="center"/>
          </w:tcPr>
          <w:p>
            <w:pPr>
              <w:keepNext w:val="0"/>
              <w:keepLines w:val="0"/>
              <w:pageBreakBefore w:val="0"/>
              <w:widowControl w:val="0"/>
              <w:numPr>
                <w:ilvl w:val="0"/>
                <w:numId w:val="0"/>
              </w:numPr>
              <w:kinsoku/>
              <w:wordWrap/>
              <w:overflowPunct/>
              <w:topLinePunct w:val="0"/>
              <w:bidi w:val="0"/>
              <w:spacing w:line="480" w:lineRule="exact"/>
              <w:ind w:lef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w:t>
            </w:r>
          </w:p>
        </w:tc>
        <w:tc>
          <w:tcPr>
            <w:tcW w:w="2327"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投标有效期</w:t>
            </w:r>
          </w:p>
        </w:tc>
        <w:tc>
          <w:tcPr>
            <w:tcW w:w="6269" w:type="dxa"/>
            <w:noWrap w:val="0"/>
            <w:vAlign w:val="center"/>
          </w:tcPr>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自投标截止之日起90日历天。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99" w:type="dxa"/>
            <w:noWrap w:val="0"/>
            <w:vAlign w:val="center"/>
          </w:tcPr>
          <w:p>
            <w:pPr>
              <w:keepNext w:val="0"/>
              <w:keepLines w:val="0"/>
              <w:pageBreakBefore w:val="0"/>
              <w:widowControl w:val="0"/>
              <w:numPr>
                <w:ilvl w:val="0"/>
                <w:numId w:val="0"/>
              </w:numPr>
              <w:kinsoku/>
              <w:wordWrap/>
              <w:overflowPunct/>
              <w:topLinePunct w:val="0"/>
              <w:bidi w:val="0"/>
              <w:spacing w:line="480" w:lineRule="exact"/>
              <w:ind w:lef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4</w:t>
            </w:r>
          </w:p>
        </w:tc>
        <w:tc>
          <w:tcPr>
            <w:tcW w:w="2327" w:type="dxa"/>
            <w:noWrap w:val="0"/>
            <w:vAlign w:val="center"/>
          </w:tcPr>
          <w:p>
            <w:pPr>
              <w:keepNext w:val="0"/>
              <w:keepLines w:val="0"/>
              <w:pageBreakBefore w:val="0"/>
              <w:widowControl/>
              <w:kinsoku/>
              <w:wordWrap/>
              <w:topLinePunct w:val="0"/>
              <w:bidi w:val="0"/>
              <w:adjustRightInd w:val="0"/>
              <w:snapToGrid w:val="0"/>
              <w:spacing w:after="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rPr>
              <w:t>现场踏勘</w:t>
            </w:r>
          </w:p>
        </w:tc>
        <w:tc>
          <w:tcPr>
            <w:tcW w:w="6269" w:type="dxa"/>
            <w:noWrap w:val="0"/>
            <w:vAlign w:val="center"/>
          </w:tcPr>
          <w:p>
            <w:pPr>
              <w:keepNext w:val="0"/>
              <w:keepLines w:val="0"/>
              <w:pageBreakBefore w:val="0"/>
              <w:widowControl/>
              <w:kinsoku/>
              <w:wordWrap/>
              <w:topLinePunct w:val="0"/>
              <w:bidi w:val="0"/>
              <w:adjustRightInd w:val="0"/>
              <w:snapToGrid w:val="0"/>
              <w:spacing w:after="0"/>
              <w:ind w:firstLine="480" w:firstLineChars="20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val="en-US" w:eastAsia="zh-CN"/>
              </w:rPr>
              <w:t>不组织统一踏勘，投标人可自行踏勘。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9" w:type="dxa"/>
            <w:noWrap w:val="0"/>
            <w:vAlign w:val="center"/>
          </w:tcPr>
          <w:p>
            <w:pPr>
              <w:keepNext w:val="0"/>
              <w:keepLines w:val="0"/>
              <w:pageBreakBefore w:val="0"/>
              <w:widowControl w:val="0"/>
              <w:numPr>
                <w:ilvl w:val="0"/>
                <w:numId w:val="0"/>
              </w:numPr>
              <w:kinsoku/>
              <w:wordWrap/>
              <w:overflowPunct/>
              <w:topLinePunct w:val="0"/>
              <w:bidi w:val="0"/>
              <w:spacing w:line="480" w:lineRule="exact"/>
              <w:ind w:lef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5</w:t>
            </w:r>
          </w:p>
        </w:tc>
        <w:tc>
          <w:tcPr>
            <w:tcW w:w="2327" w:type="dxa"/>
            <w:noWrap w:val="0"/>
            <w:vAlign w:val="center"/>
          </w:tcPr>
          <w:p>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是否采用电子招标投标</w:t>
            </w:r>
          </w:p>
        </w:tc>
        <w:tc>
          <w:tcPr>
            <w:tcW w:w="6269" w:type="dxa"/>
            <w:noWrap w:val="0"/>
            <w:vAlign w:val="center"/>
          </w:tcPr>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是</w:t>
            </w: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sz w:val="24"/>
                <w:szCs w:val="24"/>
                <w:highlight w:val="none"/>
                <w:lang w:bidi="ar"/>
              </w:rPr>
              <w:t>本项目实行不见面电子招投标方式。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9" w:type="dxa"/>
            <w:noWrap w:val="0"/>
            <w:vAlign w:val="center"/>
          </w:tcPr>
          <w:p>
            <w:pPr>
              <w:keepNext w:val="0"/>
              <w:keepLines w:val="0"/>
              <w:pageBreakBefore w:val="0"/>
              <w:widowControl w:val="0"/>
              <w:numPr>
                <w:ilvl w:val="0"/>
                <w:numId w:val="0"/>
              </w:numPr>
              <w:kinsoku/>
              <w:wordWrap/>
              <w:overflowPunct/>
              <w:topLinePunct w:val="0"/>
              <w:bidi w:val="0"/>
              <w:spacing w:line="480" w:lineRule="exact"/>
              <w:ind w:lef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6</w:t>
            </w:r>
          </w:p>
        </w:tc>
        <w:tc>
          <w:tcPr>
            <w:tcW w:w="2327"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投标文件份数</w:t>
            </w:r>
          </w:p>
        </w:tc>
        <w:tc>
          <w:tcPr>
            <w:tcW w:w="6269" w:type="dxa"/>
            <w:noWrap w:val="0"/>
            <w:vAlign w:val="center"/>
          </w:tcPr>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加密电子投标文件一份，包括“资格审查文件</w:t>
            </w:r>
            <w:r>
              <w:rPr>
                <w:rFonts w:hint="eastAsia" w:ascii="仿宋" w:hAnsi="仿宋" w:eastAsia="仿宋" w:cs="仿宋"/>
                <w:color w:val="auto"/>
                <w:sz w:val="24"/>
                <w:szCs w:val="24"/>
                <w:highlight w:val="none"/>
                <w:lang w:eastAsia="zh-CN" w:bidi="ar"/>
              </w:rPr>
              <w:t>”“技术商务</w:t>
            </w:r>
            <w:r>
              <w:rPr>
                <w:rFonts w:hint="eastAsia" w:ascii="仿宋" w:hAnsi="仿宋" w:eastAsia="仿宋" w:cs="仿宋"/>
                <w:color w:val="auto"/>
                <w:sz w:val="24"/>
                <w:szCs w:val="24"/>
                <w:highlight w:val="none"/>
                <w:lang w:bidi="ar"/>
              </w:rPr>
              <w:t>文件</w:t>
            </w: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sz w:val="24"/>
                <w:szCs w:val="24"/>
                <w:highlight w:val="none"/>
                <w:lang w:bidi="ar"/>
              </w:rPr>
              <w:t>报价文件”三个部分组成，按规定上传至衢州市阳光交易服务平台。</w:t>
            </w:r>
            <w:r>
              <w:rPr>
                <w:rFonts w:hint="eastAsia" w:ascii="仿宋" w:hAnsi="仿宋" w:eastAsia="仿宋" w:cs="仿宋"/>
                <w:color w:val="auto"/>
                <w:sz w:val="24"/>
                <w:szCs w:val="24"/>
                <w:highlight w:val="none"/>
                <w:lang w:eastAsia="zh-CN" w:bidi="ar"/>
              </w:rPr>
              <w:t>中标人</w:t>
            </w:r>
            <w:r>
              <w:rPr>
                <w:rFonts w:hint="eastAsia" w:ascii="仿宋" w:hAnsi="仿宋" w:eastAsia="仿宋" w:cs="仿宋"/>
                <w:color w:val="auto"/>
                <w:sz w:val="24"/>
                <w:szCs w:val="24"/>
                <w:highlight w:val="none"/>
                <w:lang w:bidi="ar"/>
              </w:rPr>
              <w:t>在中标结果公告结束后，按采购人或代理机构要求提供与投标时一致的投标文件。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99" w:type="dxa"/>
            <w:noWrap w:val="0"/>
            <w:vAlign w:val="center"/>
          </w:tcPr>
          <w:p>
            <w:pPr>
              <w:keepNext w:val="0"/>
              <w:keepLines w:val="0"/>
              <w:pageBreakBefore w:val="0"/>
              <w:widowControl w:val="0"/>
              <w:numPr>
                <w:ilvl w:val="0"/>
                <w:numId w:val="0"/>
              </w:numPr>
              <w:kinsoku/>
              <w:wordWrap/>
              <w:overflowPunct/>
              <w:topLinePunct w:val="0"/>
              <w:bidi w:val="0"/>
              <w:spacing w:line="480" w:lineRule="exact"/>
              <w:ind w:lef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7</w:t>
            </w:r>
          </w:p>
        </w:tc>
        <w:tc>
          <w:tcPr>
            <w:tcW w:w="2327"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投标文件的签章</w:t>
            </w:r>
          </w:p>
        </w:tc>
        <w:tc>
          <w:tcPr>
            <w:tcW w:w="6269" w:type="dxa"/>
            <w:noWrap w:val="0"/>
            <w:vAlign w:val="center"/>
          </w:tcPr>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99" w:type="dxa"/>
            <w:noWrap w:val="0"/>
            <w:vAlign w:val="center"/>
          </w:tcPr>
          <w:p>
            <w:pPr>
              <w:keepNext w:val="0"/>
              <w:keepLines w:val="0"/>
              <w:pageBreakBefore w:val="0"/>
              <w:widowControl w:val="0"/>
              <w:numPr>
                <w:ilvl w:val="0"/>
                <w:numId w:val="0"/>
              </w:numPr>
              <w:kinsoku/>
              <w:wordWrap/>
              <w:overflowPunct/>
              <w:topLinePunct w:val="0"/>
              <w:bidi w:val="0"/>
              <w:spacing w:line="480" w:lineRule="exact"/>
              <w:ind w:lef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8</w:t>
            </w:r>
          </w:p>
        </w:tc>
        <w:tc>
          <w:tcPr>
            <w:tcW w:w="2327"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投标文件递交截止时间及地点</w:t>
            </w:r>
          </w:p>
        </w:tc>
        <w:tc>
          <w:tcPr>
            <w:tcW w:w="6269" w:type="dxa"/>
            <w:noWrap w:val="0"/>
            <w:vAlign w:val="center"/>
          </w:tcPr>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将由投标文件制作工具制作生成的加密投标文件在投标截止时间前（以上传完成时间为准）上传至衢州市阳光交易服务平台（网址：https://qzygjy.com/</w:t>
            </w: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sz w:val="24"/>
                <w:szCs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9" w:type="dxa"/>
            <w:noWrap w:val="0"/>
            <w:vAlign w:val="center"/>
          </w:tcPr>
          <w:p>
            <w:pPr>
              <w:keepNext w:val="0"/>
              <w:keepLines w:val="0"/>
              <w:pageBreakBefore w:val="0"/>
              <w:widowControl w:val="0"/>
              <w:numPr>
                <w:ilvl w:val="0"/>
                <w:numId w:val="0"/>
              </w:numPr>
              <w:kinsoku/>
              <w:wordWrap/>
              <w:overflowPunct/>
              <w:topLinePunct w:val="0"/>
              <w:bidi w:val="0"/>
              <w:spacing w:line="480" w:lineRule="exact"/>
              <w:ind w:lef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9</w:t>
            </w:r>
          </w:p>
        </w:tc>
        <w:tc>
          <w:tcPr>
            <w:tcW w:w="2327"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p>
        </w:tc>
        <w:tc>
          <w:tcPr>
            <w:tcW w:w="6269" w:type="dxa"/>
            <w:noWrap w:val="0"/>
            <w:vAlign w:val="center"/>
          </w:tcPr>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FF0000"/>
                <w:sz w:val="24"/>
                <w:szCs w:val="24"/>
                <w:highlight w:val="none"/>
                <w:lang w:eastAsia="zh-CN"/>
              </w:rPr>
              <w:t>202</w:t>
            </w:r>
            <w:r>
              <w:rPr>
                <w:rFonts w:hint="eastAsia" w:ascii="仿宋" w:hAnsi="仿宋" w:eastAsia="仿宋" w:cs="仿宋"/>
                <w:color w:val="FF0000"/>
                <w:sz w:val="24"/>
                <w:szCs w:val="24"/>
                <w:highlight w:val="none"/>
                <w:lang w:val="en-US" w:eastAsia="zh-CN"/>
              </w:rPr>
              <w:t>4</w:t>
            </w:r>
            <w:r>
              <w:rPr>
                <w:rFonts w:hint="eastAsia" w:ascii="仿宋" w:hAnsi="仿宋" w:eastAsia="仿宋" w:cs="仿宋"/>
                <w:color w:val="FF0000"/>
                <w:sz w:val="24"/>
                <w:szCs w:val="24"/>
                <w:highlight w:val="none"/>
                <w:lang w:eastAsia="zh-CN"/>
              </w:rPr>
              <w:t>年</w:t>
            </w:r>
            <w:r>
              <w:rPr>
                <w:rFonts w:hint="eastAsia" w:ascii="仿宋" w:hAnsi="仿宋" w:eastAsia="仿宋" w:cs="仿宋"/>
                <w:color w:val="FF0000"/>
                <w:sz w:val="24"/>
                <w:szCs w:val="24"/>
                <w:highlight w:val="none"/>
                <w:lang w:val="en-US" w:eastAsia="zh-CN"/>
              </w:rPr>
              <w:t>7</w:t>
            </w:r>
            <w:r>
              <w:rPr>
                <w:rFonts w:hint="eastAsia" w:ascii="仿宋" w:hAnsi="仿宋" w:eastAsia="仿宋" w:cs="仿宋"/>
                <w:color w:val="FF0000"/>
                <w:sz w:val="24"/>
                <w:szCs w:val="24"/>
                <w:highlight w:val="none"/>
                <w:lang w:eastAsia="zh-CN"/>
              </w:rPr>
              <w:t>月</w:t>
            </w:r>
            <w:r>
              <w:rPr>
                <w:rFonts w:hint="eastAsia" w:ascii="仿宋" w:hAnsi="仿宋" w:eastAsia="仿宋" w:cs="仿宋"/>
                <w:color w:val="FF0000"/>
                <w:sz w:val="24"/>
                <w:szCs w:val="24"/>
                <w:highlight w:val="none"/>
                <w:lang w:val="en-US" w:eastAsia="zh-CN"/>
              </w:rPr>
              <w:t>12</w:t>
            </w:r>
            <w:r>
              <w:rPr>
                <w:rFonts w:hint="eastAsia" w:ascii="仿宋" w:hAnsi="仿宋" w:eastAsia="仿宋" w:cs="仿宋"/>
                <w:color w:val="FF0000"/>
                <w:sz w:val="24"/>
                <w:szCs w:val="24"/>
                <w:highlight w:val="none"/>
                <w:lang w:eastAsia="zh-CN"/>
              </w:rPr>
              <w:t>日</w:t>
            </w:r>
            <w:r>
              <w:rPr>
                <w:rFonts w:hint="eastAsia" w:ascii="仿宋" w:hAnsi="仿宋" w:eastAsia="仿宋" w:cs="仿宋"/>
                <w:color w:val="FF0000"/>
                <w:sz w:val="24"/>
                <w:szCs w:val="24"/>
                <w:highlight w:val="none"/>
                <w:lang w:val="en-US" w:eastAsia="zh-CN"/>
              </w:rPr>
              <w:t>9</w:t>
            </w:r>
            <w:r>
              <w:rPr>
                <w:rFonts w:hint="eastAsia" w:ascii="仿宋" w:hAnsi="仿宋" w:eastAsia="仿宋" w:cs="仿宋"/>
                <w:color w:val="FF0000"/>
                <w:sz w:val="24"/>
                <w:szCs w:val="24"/>
                <w:highlight w:val="none"/>
                <w:lang w:eastAsia="zh-CN"/>
              </w:rPr>
              <w:t>时</w:t>
            </w:r>
            <w:r>
              <w:rPr>
                <w:rFonts w:hint="eastAsia" w:ascii="仿宋" w:hAnsi="仿宋" w:eastAsia="仿宋" w:cs="仿宋"/>
                <w:color w:val="FF0000"/>
                <w:sz w:val="24"/>
                <w:szCs w:val="24"/>
                <w:highlight w:val="none"/>
                <w:lang w:val="en-US" w:eastAsia="zh-CN"/>
              </w:rPr>
              <w:t>30</w:t>
            </w:r>
            <w:r>
              <w:rPr>
                <w:rFonts w:hint="eastAsia" w:ascii="仿宋" w:hAnsi="仿宋" w:eastAsia="仿宋" w:cs="仿宋"/>
                <w:color w:val="FF0000"/>
                <w:sz w:val="24"/>
                <w:szCs w:val="24"/>
                <w:highlight w:val="none"/>
                <w:lang w:eastAsia="zh-CN"/>
              </w:rPr>
              <w:t>分</w:t>
            </w:r>
            <w:r>
              <w:rPr>
                <w:rFonts w:hint="eastAsia" w:ascii="仿宋" w:hAnsi="仿宋" w:eastAsia="仿宋" w:cs="仿宋"/>
                <w:color w:val="FF0000"/>
                <w:sz w:val="24"/>
                <w:szCs w:val="24"/>
                <w:highlight w:val="none"/>
                <w:lang w:val="en-US" w:eastAsia="zh-CN"/>
              </w:rPr>
              <w:t>00</w:t>
            </w:r>
            <w:r>
              <w:rPr>
                <w:rFonts w:hint="eastAsia" w:ascii="仿宋" w:hAnsi="仿宋" w:eastAsia="仿宋" w:cs="仿宋"/>
                <w:color w:val="FF0000"/>
                <w:sz w:val="24"/>
                <w:szCs w:val="24"/>
                <w:highlight w:val="none"/>
                <w:lang w:eastAsia="zh-CN"/>
              </w:rPr>
              <w:t>秒</w:t>
            </w:r>
            <w:r>
              <w:rPr>
                <w:rFonts w:hint="eastAsia" w:ascii="仿宋" w:hAnsi="仿宋" w:eastAsia="仿宋" w:cs="仿宋"/>
                <w:color w:val="auto"/>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9" w:type="dxa"/>
            <w:noWrap w:val="0"/>
            <w:vAlign w:val="center"/>
          </w:tcPr>
          <w:p>
            <w:pPr>
              <w:keepNext w:val="0"/>
              <w:keepLines w:val="0"/>
              <w:pageBreakBefore w:val="0"/>
              <w:widowControl w:val="0"/>
              <w:numPr>
                <w:ilvl w:val="0"/>
                <w:numId w:val="0"/>
              </w:numPr>
              <w:kinsoku/>
              <w:wordWrap/>
              <w:overflowPunct/>
              <w:topLinePunct w:val="0"/>
              <w:bidi w:val="0"/>
              <w:spacing w:line="480" w:lineRule="exact"/>
              <w:ind w:left="425" w:hanging="425"/>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w:t>
            </w:r>
          </w:p>
        </w:tc>
        <w:tc>
          <w:tcPr>
            <w:tcW w:w="2327"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样品</w:t>
            </w:r>
          </w:p>
        </w:tc>
        <w:tc>
          <w:tcPr>
            <w:tcW w:w="6269" w:type="dxa"/>
            <w:noWrap w:val="0"/>
            <w:vAlign w:val="center"/>
          </w:tcPr>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1.本项目是否需要样品：☑否；□是，详见“第三章 采购需求”；</w:t>
            </w:r>
          </w:p>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2.样品标识：□明标，□暗标；</w:t>
            </w:r>
          </w:p>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3.样品送至地点： 衢州市柯城区芹江东路288号衢时代创新大厦3号楼负一楼西侧（衢州市产权交易中心有限公司）样品存放点；</w:t>
            </w:r>
          </w:p>
          <w:p>
            <w:pPr>
              <w:spacing w:line="48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4.样品递交截止时间：同开标时间；</w:t>
            </w:r>
          </w:p>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.中标人样品处理：□退还，□封存至验收，□抵扣采购数量；</w:t>
            </w:r>
          </w:p>
          <w:p>
            <w:pPr>
              <w:spacing w:line="48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.其他要求：评标结束后1个工作日内，未中标供应商将其样品取回，逾期未取回的样品由采购人自行处理；中标供应商样品封存，作验收依据。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9" w:type="dxa"/>
            <w:noWrap w:val="0"/>
            <w:vAlign w:val="center"/>
          </w:tcPr>
          <w:p>
            <w:pPr>
              <w:keepNext w:val="0"/>
              <w:keepLines w:val="0"/>
              <w:pageBreakBefore w:val="0"/>
              <w:widowControl w:val="0"/>
              <w:numPr>
                <w:ilvl w:val="0"/>
                <w:numId w:val="0"/>
              </w:numPr>
              <w:kinsoku/>
              <w:wordWrap/>
              <w:overflowPunct/>
              <w:topLinePunct w:val="0"/>
              <w:bidi w:val="0"/>
              <w:spacing w:line="480" w:lineRule="exact"/>
              <w:ind w:left="425" w:hanging="425"/>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11</w:t>
            </w:r>
          </w:p>
        </w:tc>
        <w:tc>
          <w:tcPr>
            <w:tcW w:w="2327"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现场讲解</w:t>
            </w:r>
          </w:p>
        </w:tc>
        <w:tc>
          <w:tcPr>
            <w:tcW w:w="6269" w:type="dxa"/>
            <w:noWrap w:val="0"/>
            <w:vAlign w:val="center"/>
          </w:tcPr>
          <w:p>
            <w:pPr>
              <w:keepNext w:val="0"/>
              <w:keepLines w:val="0"/>
              <w:pageBreakBefore w:val="0"/>
              <w:widowControl/>
              <w:kinsoku/>
              <w:wordWrap/>
              <w:overflowPunct/>
              <w:topLinePunct w:val="0"/>
              <w:bidi w:val="0"/>
              <w:spacing w:line="48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1.本项目是否需要</w:t>
            </w:r>
            <w:r>
              <w:rPr>
                <w:rFonts w:hint="eastAsia" w:ascii="仿宋" w:hAnsi="仿宋" w:eastAsia="仿宋" w:cs="仿宋"/>
                <w:color w:val="auto"/>
                <w:sz w:val="24"/>
                <w:szCs w:val="24"/>
                <w:highlight w:val="none"/>
                <w:lang w:val="en-US" w:eastAsia="zh-CN"/>
              </w:rPr>
              <w:t>现场讲解</w:t>
            </w:r>
            <w:r>
              <w:rPr>
                <w:rFonts w:hint="eastAsia" w:ascii="仿宋" w:hAnsi="仿宋" w:eastAsia="仿宋" w:cs="仿宋"/>
                <w:color w:val="auto"/>
                <w:sz w:val="24"/>
                <w:szCs w:val="24"/>
                <w:highlight w:val="none"/>
                <w:lang w:eastAsia="zh-CN"/>
              </w:rPr>
              <w:t>：☑否，□是；</w:t>
            </w:r>
          </w:p>
          <w:p>
            <w:pPr>
              <w:keepNext w:val="0"/>
              <w:keepLines w:val="0"/>
              <w:pageBreakBefore w:val="0"/>
              <w:widowControl/>
              <w:kinsoku/>
              <w:wordWrap/>
              <w:overflowPunct/>
              <w:topLinePunct w:val="0"/>
              <w:bidi w:val="0"/>
              <w:spacing w:line="4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现场讲解</w:t>
            </w:r>
            <w:r>
              <w:rPr>
                <w:rFonts w:hint="eastAsia" w:ascii="仿宋" w:hAnsi="仿宋" w:eastAsia="仿宋" w:cs="仿宋"/>
                <w:color w:val="auto"/>
                <w:sz w:val="24"/>
                <w:szCs w:val="24"/>
                <w:highlight w:val="none"/>
                <w:lang w:eastAsia="zh-CN"/>
              </w:rPr>
              <w:t>地点： 衢州市柯城区芹江东路288号衢时代创新大厦3号楼负一楼西侧（衢州市产权交易中心有限公司）；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9" w:type="dxa"/>
            <w:noWrap w:val="0"/>
            <w:vAlign w:val="center"/>
          </w:tcPr>
          <w:p>
            <w:pPr>
              <w:keepNext w:val="0"/>
              <w:keepLines w:val="0"/>
              <w:pageBreakBefore w:val="0"/>
              <w:widowControl w:val="0"/>
              <w:numPr>
                <w:ilvl w:val="0"/>
                <w:numId w:val="0"/>
              </w:numPr>
              <w:kinsoku/>
              <w:wordWrap/>
              <w:overflowPunct/>
              <w:topLinePunct w:val="0"/>
              <w:bidi w:val="0"/>
              <w:spacing w:line="480" w:lineRule="exact"/>
              <w:ind w:left="0" w:firstLine="0"/>
              <w:jc w:val="center"/>
              <w:textAlignment w:val="auto"/>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SA"/>
              </w:rPr>
              <w:t>12</w:t>
            </w:r>
          </w:p>
        </w:tc>
        <w:tc>
          <w:tcPr>
            <w:tcW w:w="2327"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开标地点及平台</w:t>
            </w:r>
          </w:p>
        </w:tc>
        <w:tc>
          <w:tcPr>
            <w:tcW w:w="6269" w:type="dxa"/>
            <w:noWrap w:val="0"/>
            <w:vAlign w:val="center"/>
          </w:tcPr>
          <w:p>
            <w:pPr>
              <w:pStyle w:val="9"/>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val="zh-CN"/>
              </w:rPr>
              <w:t>衢州市柯城区芹江东路288号衢时代创新大厦3号楼负一楼西侧（衢州市产权交易中心有限公司）</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zh-CN"/>
              </w:rPr>
              <w:t>开标厅。</w:t>
            </w:r>
          </w:p>
          <w:p>
            <w:pPr>
              <w:keepNext w:val="0"/>
              <w:keepLines w:val="0"/>
              <w:pageBreakBefore w:val="0"/>
              <w:widowControl w:val="0"/>
              <w:kinsoku/>
              <w:wordWrap/>
              <w:overflowPunct/>
              <w:topLinePunct w:val="0"/>
              <w:bidi w:val="0"/>
              <w:spacing w:line="4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开标平台：衢州市阳光交易服务平台不见面开标大厅（https://qzygjy.com/BidOpening/bidopeninghallaction/hall/login</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pPr>
              <w:keepNext w:val="0"/>
              <w:keepLines w:val="0"/>
              <w:pageBreakBefore w:val="0"/>
              <w:widowControl w:val="0"/>
              <w:numPr>
                <w:ilvl w:val="0"/>
                <w:numId w:val="0"/>
              </w:numPr>
              <w:kinsoku/>
              <w:wordWrap/>
              <w:overflowPunct/>
              <w:topLinePunct w:val="0"/>
              <w:bidi w:val="0"/>
              <w:spacing w:line="480" w:lineRule="exact"/>
              <w:ind w:left="0" w:firstLine="0"/>
              <w:jc w:val="center"/>
              <w:textAlignment w:val="auto"/>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SA"/>
              </w:rPr>
              <w:t>13</w:t>
            </w:r>
          </w:p>
        </w:tc>
        <w:tc>
          <w:tcPr>
            <w:tcW w:w="2327"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投标文件开启程序</w:t>
            </w:r>
          </w:p>
        </w:tc>
        <w:tc>
          <w:tcPr>
            <w:tcW w:w="6269" w:type="dxa"/>
            <w:noWrap w:val="0"/>
            <w:vAlign w:val="center"/>
          </w:tcPr>
          <w:p>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⑴投标文件开启时间到后，代理机构（或公证人员）宣布开始解密，30分钟内供应商应完成投标文件的解密。供应商解密方式：供应商自行登录衢州市阳光交易服务平台不见面开标大厅（https://qzygjy.com/BidOpening/bidopeninghallaction/hall/login</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——投标人身份——我的项目——选择标段——待代理开启解密后进行解密操作供应商在规定的时间内都已完成解密，则系统自动结束解密；供应商因自身原因未在规定时间内完成解密，则默认自动放弃；</w:t>
            </w:r>
          </w:p>
          <w:p>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⑵采购代理机构导入投标文件成功后进入评标流程。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noWrap w:val="0"/>
            <w:vAlign w:val="center"/>
          </w:tcPr>
          <w:p>
            <w:pPr>
              <w:keepNext w:val="0"/>
              <w:keepLines w:val="0"/>
              <w:pageBreakBefore w:val="0"/>
              <w:widowControl w:val="0"/>
              <w:numPr>
                <w:ilvl w:val="0"/>
                <w:numId w:val="0"/>
              </w:numPr>
              <w:kinsoku/>
              <w:wordWrap/>
              <w:overflowPunct/>
              <w:topLinePunct w:val="0"/>
              <w:bidi w:val="0"/>
              <w:spacing w:line="480" w:lineRule="exact"/>
              <w:ind w:left="0" w:firstLine="0"/>
              <w:jc w:val="center"/>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14</w:t>
            </w:r>
          </w:p>
        </w:tc>
        <w:tc>
          <w:tcPr>
            <w:tcW w:w="2327"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中标结果公告期限</w:t>
            </w:r>
          </w:p>
        </w:tc>
        <w:tc>
          <w:tcPr>
            <w:tcW w:w="6269" w:type="dxa"/>
            <w:noWrap w:val="0"/>
            <w:vAlign w:val="center"/>
          </w:tcPr>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99" w:type="dxa"/>
            <w:tcBorders>
              <w:bottom w:val="single" w:color="auto" w:sz="4" w:space="0"/>
            </w:tcBorders>
            <w:noWrap w:val="0"/>
            <w:vAlign w:val="center"/>
          </w:tcPr>
          <w:p>
            <w:pPr>
              <w:keepNext w:val="0"/>
              <w:keepLines w:val="0"/>
              <w:pageBreakBefore w:val="0"/>
              <w:widowControl w:val="0"/>
              <w:numPr>
                <w:ilvl w:val="0"/>
                <w:numId w:val="0"/>
              </w:numPr>
              <w:kinsoku/>
              <w:wordWrap/>
              <w:overflowPunct/>
              <w:topLinePunct w:val="0"/>
              <w:bidi w:val="0"/>
              <w:spacing w:line="480" w:lineRule="exact"/>
              <w:ind w:left="0" w:firstLine="0"/>
              <w:jc w:val="center"/>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15</w:t>
            </w:r>
          </w:p>
        </w:tc>
        <w:tc>
          <w:tcPr>
            <w:tcW w:w="2327" w:type="dxa"/>
            <w:tcBorders>
              <w:bottom w:val="single" w:color="auto" w:sz="4" w:space="0"/>
            </w:tcBorders>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中标人履约保证金</w:t>
            </w:r>
            <w:r>
              <w:rPr>
                <w:rFonts w:hint="eastAsia" w:ascii="仿宋" w:hAnsi="仿宋" w:eastAsia="仿宋" w:cs="仿宋"/>
                <w:color w:val="auto"/>
                <w:sz w:val="24"/>
                <w:szCs w:val="24"/>
                <w:highlight w:val="none"/>
                <w:lang w:eastAsia="zh-CN"/>
              </w:rPr>
              <w:t>缴纳</w:t>
            </w:r>
          </w:p>
        </w:tc>
        <w:tc>
          <w:tcPr>
            <w:tcW w:w="6269" w:type="dxa"/>
            <w:tcBorders>
              <w:bottom w:val="single" w:color="auto" w:sz="4" w:space="0"/>
            </w:tcBorders>
            <w:noWrap w:val="0"/>
            <w:vAlign w:val="center"/>
          </w:tcPr>
          <w:p>
            <w:pPr>
              <w:keepNext w:val="0"/>
              <w:keepLines w:val="0"/>
              <w:pageBreakBefore w:val="0"/>
              <w:widowControl w:val="0"/>
              <w:kinsoku/>
              <w:wordWrap/>
              <w:overflowPunct/>
              <w:topLinePunct w:val="0"/>
              <w:bidi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合同签订前，中标人向采购人交纳2000元的履约保证金（以现金、电汇、银行转账或保函的形式）。现金、电汇、银行转账形式交纳的履约保证金，合同履行完毕且验收合格后中标人无任何违约、赔偿等情况的，采购人在最终验收合格后30日内将履约保证金原额无息退还给中标人。以保函形式提供的，保函有效期应在合同期限内不少于6个月且保函到期时合同未履行完毕的，中标人应在保函到期前完成续保，保函到期后双方按相关要求办理相关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99" w:type="dxa"/>
            <w:noWrap w:val="0"/>
            <w:vAlign w:val="center"/>
          </w:tcPr>
          <w:p>
            <w:pPr>
              <w:keepNext w:val="0"/>
              <w:keepLines w:val="0"/>
              <w:pageBreakBefore w:val="0"/>
              <w:widowControl w:val="0"/>
              <w:numPr>
                <w:ilvl w:val="0"/>
                <w:numId w:val="0"/>
              </w:numPr>
              <w:kinsoku/>
              <w:wordWrap/>
              <w:overflowPunct/>
              <w:topLinePunct w:val="0"/>
              <w:bidi w:val="0"/>
              <w:spacing w:line="480" w:lineRule="exact"/>
              <w:ind w:left="0" w:firstLine="0"/>
              <w:jc w:val="center"/>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16</w:t>
            </w:r>
          </w:p>
        </w:tc>
        <w:tc>
          <w:tcPr>
            <w:tcW w:w="2327"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签订合同</w:t>
            </w:r>
          </w:p>
        </w:tc>
        <w:tc>
          <w:tcPr>
            <w:tcW w:w="6269" w:type="dxa"/>
            <w:noWrap w:val="0"/>
            <w:vAlign w:val="center"/>
          </w:tcPr>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发出中标通知书</w:t>
            </w:r>
            <w:r>
              <w:rPr>
                <w:rFonts w:hint="eastAsia" w:ascii="仿宋" w:hAnsi="仿宋" w:eastAsia="仿宋" w:cs="仿宋"/>
                <w:sz w:val="24"/>
                <w:szCs w:val="24"/>
                <w:highlight w:val="none"/>
                <w:lang w:val="en-US" w:eastAsia="zh-CN"/>
              </w:rPr>
              <w:t>之日起</w:t>
            </w:r>
            <w:r>
              <w:rPr>
                <w:rFonts w:hint="eastAsia" w:ascii="仿宋" w:hAnsi="仿宋" w:eastAsia="仿宋" w:cs="仿宋"/>
                <w:sz w:val="24"/>
                <w:szCs w:val="24"/>
                <w:highlight w:val="none"/>
              </w:rPr>
              <w:t xml:space="preserve">30天内。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99" w:type="dxa"/>
            <w:noWrap w:val="0"/>
            <w:vAlign w:val="center"/>
          </w:tcPr>
          <w:p>
            <w:pPr>
              <w:keepNext w:val="0"/>
              <w:keepLines w:val="0"/>
              <w:pageBreakBefore w:val="0"/>
              <w:widowControl w:val="0"/>
              <w:numPr>
                <w:ilvl w:val="0"/>
                <w:numId w:val="0"/>
              </w:numPr>
              <w:kinsoku/>
              <w:wordWrap/>
              <w:overflowPunct/>
              <w:topLinePunct w:val="0"/>
              <w:bidi w:val="0"/>
              <w:spacing w:line="480" w:lineRule="exact"/>
              <w:ind w:left="0" w:firstLine="0"/>
              <w:jc w:val="center"/>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17</w:t>
            </w:r>
          </w:p>
        </w:tc>
        <w:tc>
          <w:tcPr>
            <w:tcW w:w="2327"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合同备案</w:t>
            </w:r>
          </w:p>
        </w:tc>
        <w:tc>
          <w:tcPr>
            <w:tcW w:w="6269" w:type="dxa"/>
            <w:noWrap w:val="0"/>
            <w:vAlign w:val="center"/>
          </w:tcPr>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中标人与采购人签订合同后，2个日历天内将合同扫描件</w:t>
            </w:r>
            <w:r>
              <w:rPr>
                <w:rFonts w:hint="eastAsia" w:ascii="仿宋" w:hAnsi="仿宋" w:eastAsia="仿宋" w:cs="仿宋"/>
                <w:color w:val="auto"/>
                <w:sz w:val="24"/>
                <w:szCs w:val="24"/>
                <w:highlight w:val="none"/>
              </w:rPr>
              <w:t>电子版发送至邮箱：872932340@</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"http://qq.com/" \t "_blank"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qq.com</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；本</w:t>
            </w:r>
            <w:r>
              <w:rPr>
                <w:rFonts w:hint="eastAsia" w:ascii="仿宋" w:hAnsi="仿宋" w:eastAsia="仿宋" w:cs="仿宋"/>
                <w:sz w:val="24"/>
                <w:szCs w:val="24"/>
                <w:highlight w:val="none"/>
              </w:rPr>
              <w:t>项目采购合同按规定在</w:t>
            </w:r>
            <w:r>
              <w:rPr>
                <w:rFonts w:hint="eastAsia" w:ascii="仿宋" w:hAnsi="仿宋" w:eastAsia="仿宋" w:cs="仿宋"/>
                <w:sz w:val="24"/>
                <w:szCs w:val="24"/>
                <w:highlight w:val="none"/>
                <w:lang w:bidi="ar"/>
              </w:rPr>
              <w:t>衢州市阳光交易服务平台（网址：https://qzygjy.com/</w:t>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rPr>
              <w:t>予以备案。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99" w:type="dxa"/>
            <w:noWrap w:val="0"/>
            <w:vAlign w:val="center"/>
          </w:tcPr>
          <w:p>
            <w:pPr>
              <w:keepNext w:val="0"/>
              <w:keepLines w:val="0"/>
              <w:pageBreakBefore w:val="0"/>
              <w:widowControl w:val="0"/>
              <w:numPr>
                <w:ilvl w:val="0"/>
                <w:numId w:val="0"/>
              </w:numPr>
              <w:kinsoku/>
              <w:wordWrap/>
              <w:overflowPunct/>
              <w:topLinePunct w:val="0"/>
              <w:bidi w:val="0"/>
              <w:spacing w:line="480" w:lineRule="exact"/>
              <w:ind w:left="0" w:firstLine="0"/>
              <w:jc w:val="center"/>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18</w:t>
            </w:r>
          </w:p>
        </w:tc>
        <w:tc>
          <w:tcPr>
            <w:tcW w:w="2327"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w:t>
            </w:r>
          </w:p>
        </w:tc>
        <w:tc>
          <w:tcPr>
            <w:tcW w:w="6269" w:type="dxa"/>
            <w:noWrap w:val="0"/>
            <w:vAlign w:val="center"/>
          </w:tcPr>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投标文件递交截止之日起90天</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99" w:type="dxa"/>
            <w:noWrap w:val="0"/>
            <w:vAlign w:val="center"/>
          </w:tcPr>
          <w:p>
            <w:pPr>
              <w:keepNext w:val="0"/>
              <w:keepLines w:val="0"/>
              <w:pageBreakBefore w:val="0"/>
              <w:widowControl w:val="0"/>
              <w:numPr>
                <w:ilvl w:val="0"/>
                <w:numId w:val="0"/>
              </w:numPr>
              <w:kinsoku/>
              <w:wordWrap/>
              <w:overflowPunct/>
              <w:topLinePunct w:val="0"/>
              <w:bidi w:val="0"/>
              <w:spacing w:line="480" w:lineRule="exact"/>
              <w:ind w:left="0" w:firstLine="0"/>
              <w:jc w:val="center"/>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19</w:t>
            </w:r>
          </w:p>
        </w:tc>
        <w:tc>
          <w:tcPr>
            <w:tcW w:w="2327"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采购公告</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更正公告</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highlight w:val="none"/>
              </w:rPr>
              <w:t>中标结果公告</w:t>
            </w:r>
            <w:r>
              <w:rPr>
                <w:rFonts w:hint="eastAsia" w:ascii="仿宋" w:hAnsi="仿宋" w:eastAsia="仿宋" w:cs="仿宋"/>
                <w:sz w:val="24"/>
                <w:szCs w:val="24"/>
                <w:highlight w:val="none"/>
              </w:rPr>
              <w:t>发布网址</w:t>
            </w:r>
          </w:p>
        </w:tc>
        <w:tc>
          <w:tcPr>
            <w:tcW w:w="6269" w:type="dxa"/>
            <w:noWrap w:val="0"/>
            <w:vAlign w:val="center"/>
          </w:tcPr>
          <w:p>
            <w:pPr>
              <w:keepNext w:val="0"/>
              <w:keepLines w:val="0"/>
              <w:pageBreakBefore w:val="0"/>
              <w:widowControl w:val="0"/>
              <w:kinsoku/>
              <w:wordWrap/>
              <w:overflowPunct/>
              <w:topLinePunct w:val="0"/>
              <w:bidi w:val="0"/>
              <w:spacing w:line="480" w:lineRule="exact"/>
              <w:ind w:firstLine="476"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auto"/>
                <w:spacing w:val="-1"/>
                <w:sz w:val="24"/>
                <w:szCs w:val="24"/>
                <w:highlight w:val="none"/>
                <w:lang w:eastAsia="zh-CN"/>
              </w:rPr>
              <w:t>衢州市阳光交易服务平台（https://qzygjy.com/）、浙江政府采购网（https://zfcg.czt.zj.gov.cn/）、衢州市衢通发展集团有限公司官网(www.zjqzjt.com)。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99" w:type="dxa"/>
            <w:noWrap w:val="0"/>
            <w:vAlign w:val="center"/>
          </w:tcPr>
          <w:p>
            <w:pPr>
              <w:keepNext w:val="0"/>
              <w:keepLines w:val="0"/>
              <w:pageBreakBefore w:val="0"/>
              <w:widowControl w:val="0"/>
              <w:numPr>
                <w:ilvl w:val="0"/>
                <w:numId w:val="0"/>
              </w:numPr>
              <w:kinsoku/>
              <w:wordWrap/>
              <w:overflowPunct/>
              <w:topLinePunct w:val="0"/>
              <w:bidi w:val="0"/>
              <w:spacing w:line="480" w:lineRule="exact"/>
              <w:ind w:left="0" w:firstLine="0"/>
              <w:jc w:val="center"/>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20</w:t>
            </w:r>
          </w:p>
        </w:tc>
        <w:tc>
          <w:tcPr>
            <w:tcW w:w="2327"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其他注意事项</w:t>
            </w:r>
          </w:p>
        </w:tc>
        <w:tc>
          <w:tcPr>
            <w:tcW w:w="6269" w:type="dxa"/>
            <w:noWrap w:val="0"/>
            <w:vAlign w:val="center"/>
          </w:tcPr>
          <w:p>
            <w:pPr>
              <w:pStyle w:val="15"/>
              <w:keepNext w:val="0"/>
              <w:keepLines w:val="0"/>
              <w:pageBreakBefore w:val="0"/>
              <w:widowControl w:val="0"/>
              <w:kinsoku/>
              <w:wordWrap/>
              <w:overflowPunct/>
              <w:topLinePunct w:val="0"/>
              <w:bidi w:val="0"/>
              <w:spacing w:after="0" w:afterLines="0" w:line="480" w:lineRule="exact"/>
              <w:ind w:firstLine="48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⑴</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文件中部分加“▲”的条款，属于</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文件的实质性要求和条件，着重提醒各投标人注意，并认真查看</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文件中的每一个条款及要求，因误读</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文件而造成的后果，采购人概不负责</w:t>
            </w:r>
            <w:r>
              <w:rPr>
                <w:rFonts w:hint="eastAsia" w:ascii="仿宋" w:hAnsi="仿宋" w:eastAsia="仿宋" w:cs="仿宋"/>
                <w:sz w:val="24"/>
                <w:szCs w:val="24"/>
                <w:highlight w:val="none"/>
                <w:lang w:eastAsia="zh-CN"/>
              </w:rPr>
              <w:t>；</w:t>
            </w:r>
          </w:p>
          <w:p>
            <w:pPr>
              <w:pStyle w:val="15"/>
              <w:keepNext w:val="0"/>
              <w:keepLines w:val="0"/>
              <w:pageBreakBefore w:val="0"/>
              <w:widowControl w:val="0"/>
              <w:kinsoku/>
              <w:wordWrap/>
              <w:overflowPunct/>
              <w:topLinePunct w:val="0"/>
              <w:bidi w:val="0"/>
              <w:spacing w:after="0" w:afterLines="0" w:line="48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⑵本项目实行不见面电子招投标方式，投标截止时间后投标人凭CA数字证书完成投标解密等事宜。投标人的联系电话在投标当天保持通信畅通，因通信问题无法联系到投标人造成的后果由投标人自行承担。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99" w:type="dxa"/>
            <w:noWrap w:val="0"/>
            <w:vAlign w:val="center"/>
          </w:tcPr>
          <w:p>
            <w:pPr>
              <w:keepNext w:val="0"/>
              <w:keepLines w:val="0"/>
              <w:pageBreakBefore w:val="0"/>
              <w:widowControl w:val="0"/>
              <w:numPr>
                <w:ilvl w:val="-1"/>
                <w:numId w:val="0"/>
              </w:numPr>
              <w:kinsoku/>
              <w:wordWrap/>
              <w:overflowPunct/>
              <w:topLinePunct w:val="0"/>
              <w:bidi w:val="0"/>
              <w:spacing w:line="480" w:lineRule="exact"/>
              <w:ind w:left="0" w:firstLine="0"/>
              <w:jc w:val="center"/>
              <w:textAlignment w:val="auto"/>
              <w:rPr>
                <w:rFonts w:hint="eastAsia" w:ascii="仿宋" w:hAnsi="仿宋" w:eastAsia="仿宋" w:cs="仿宋"/>
                <w:sz w:val="24"/>
                <w:szCs w:val="24"/>
                <w:highlight w:val="none"/>
              </w:rPr>
            </w:pPr>
            <w:bookmarkStart w:id="56" w:name="_Toc32270"/>
            <w:bookmarkStart w:id="57" w:name="_Toc5190"/>
            <w:bookmarkStart w:id="58" w:name="_Toc12944"/>
            <w:r>
              <w:rPr>
                <w:rFonts w:hint="eastAsia" w:ascii="仿宋" w:hAnsi="仿宋" w:eastAsia="仿宋" w:cs="仿宋"/>
                <w:sz w:val="24"/>
                <w:szCs w:val="24"/>
                <w:highlight w:val="none"/>
                <w:lang w:val="en-US" w:eastAsia="zh-CN"/>
              </w:rPr>
              <w:t>21</w:t>
            </w:r>
          </w:p>
        </w:tc>
        <w:tc>
          <w:tcPr>
            <w:tcW w:w="2327"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投标人信用查询</w:t>
            </w:r>
          </w:p>
        </w:tc>
        <w:tc>
          <w:tcPr>
            <w:tcW w:w="6269" w:type="dxa"/>
            <w:noWrap w:val="0"/>
            <w:vAlign w:val="center"/>
          </w:tcPr>
          <w:p>
            <w:pPr>
              <w:pStyle w:val="15"/>
              <w:keepNext w:val="0"/>
              <w:keepLines w:val="0"/>
              <w:pageBreakBefore w:val="0"/>
              <w:widowControl w:val="0"/>
              <w:kinsoku/>
              <w:wordWrap/>
              <w:overflowPunct/>
              <w:topLinePunct w:val="0"/>
              <w:autoSpaceDE/>
              <w:autoSpaceDN/>
              <w:bidi w:val="0"/>
              <w:adjustRightInd/>
              <w:snapToGrid/>
              <w:spacing w:after="0" w:afterLines="0" w:line="480" w:lineRule="exact"/>
              <w:ind w:firstLine="48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⑴采购代理机构将对本项目投标供应商的信用信息进行查询和甄别，查询渠道为信用中国网站（www.creditchina.gov.cn）、中国政府采购网（www.ccgp.gov.cn）；</w:t>
            </w:r>
          </w:p>
          <w:p>
            <w:pPr>
              <w:pStyle w:val="15"/>
              <w:keepNext w:val="0"/>
              <w:keepLines w:val="0"/>
              <w:pageBreakBefore w:val="0"/>
              <w:widowControl w:val="0"/>
              <w:kinsoku/>
              <w:wordWrap/>
              <w:overflowPunct/>
              <w:topLinePunct w:val="0"/>
              <w:autoSpaceDE/>
              <w:autoSpaceDN/>
              <w:bidi w:val="0"/>
              <w:adjustRightInd/>
              <w:snapToGrid/>
              <w:spacing w:after="0" w:afterLines="0" w:line="480" w:lineRule="exact"/>
              <w:ind w:firstLine="48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⑵截止时点：提交投标文件（响应文件）截止时间前3年内；</w:t>
            </w:r>
          </w:p>
          <w:p>
            <w:pPr>
              <w:pStyle w:val="15"/>
              <w:keepNext w:val="0"/>
              <w:keepLines w:val="0"/>
              <w:pageBreakBefore w:val="0"/>
              <w:widowControl w:val="0"/>
              <w:kinsoku/>
              <w:wordWrap/>
              <w:overflowPunct/>
              <w:topLinePunct w:val="0"/>
              <w:autoSpaceDE/>
              <w:autoSpaceDN/>
              <w:bidi w:val="0"/>
              <w:adjustRightInd/>
              <w:snapToGrid/>
              <w:spacing w:after="0" w:afterLines="0" w:line="480" w:lineRule="exact"/>
              <w:ind w:firstLine="48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⑶信用信息查询记录和证据以网页截图方式留存；</w:t>
            </w:r>
          </w:p>
          <w:p>
            <w:pPr>
              <w:pStyle w:val="15"/>
              <w:keepNext w:val="0"/>
              <w:keepLines w:val="0"/>
              <w:pageBreakBefore w:val="0"/>
              <w:widowControl w:val="0"/>
              <w:kinsoku/>
              <w:wordWrap/>
              <w:overflowPunct/>
              <w:topLinePunct w:val="0"/>
              <w:autoSpaceDE/>
              <w:autoSpaceDN/>
              <w:bidi w:val="0"/>
              <w:adjustRightInd/>
              <w:snapToGrid/>
              <w:spacing w:after="0" w:afterLines="0" w:line="480" w:lineRule="exact"/>
              <w:ind w:firstLine="48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 4 \* GB2 \* MERGEFORMAT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kern w:val="2"/>
                <w:sz w:val="24"/>
                <w:szCs w:val="24"/>
                <w:highlight w:val="none"/>
                <w:lang w:val="en-US" w:eastAsia="zh-CN" w:bidi="ar-SA"/>
              </w:rPr>
              <w:t>⑷</w:t>
            </w:r>
            <w:r>
              <w:rPr>
                <w:rFonts w:hint="eastAsia" w:ascii="仿宋" w:hAnsi="仿宋" w:eastAsia="仿宋" w:cs="仿宋"/>
                <w:kern w:val="2"/>
                <w:sz w:val="24"/>
                <w:szCs w:val="24"/>
                <w:highlight w:val="none"/>
                <w:lang w:val="en-US" w:eastAsia="zh-CN" w:bidi="ar-SA"/>
              </w:rPr>
              <w:fldChar w:fldCharType="end"/>
            </w:r>
            <w:r>
              <w:rPr>
                <w:rFonts w:hint="eastAsia" w:ascii="仿宋" w:hAnsi="仿宋" w:eastAsia="仿宋" w:cs="仿宋"/>
                <w:kern w:val="2"/>
                <w:sz w:val="24"/>
                <w:szCs w:val="24"/>
                <w:highlight w:val="none"/>
                <w:lang w:val="en-US" w:eastAsia="zh-CN" w:bidi="ar-SA"/>
              </w:rPr>
              <w:t>不良信用记录指：</w:t>
            </w:r>
          </w:p>
          <w:p>
            <w:pPr>
              <w:pStyle w:val="15"/>
              <w:keepNext w:val="0"/>
              <w:keepLines w:val="0"/>
              <w:pageBreakBefore w:val="0"/>
              <w:widowControl w:val="0"/>
              <w:kinsoku/>
              <w:wordWrap/>
              <w:overflowPunct/>
              <w:topLinePunct w:val="0"/>
              <w:autoSpaceDE/>
              <w:autoSpaceDN/>
              <w:bidi w:val="0"/>
              <w:adjustRightInd/>
              <w:snapToGrid/>
              <w:spacing w:after="0" w:afterLines="0" w:line="480" w:lineRule="exact"/>
              <w:ind w:firstLine="48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 1 \* GB3 \* MERGEFORMAT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sz w:val="24"/>
                <w:szCs w:val="24"/>
                <w:highlight w:val="none"/>
              </w:rPr>
              <w:t>①</w:t>
            </w:r>
            <w:r>
              <w:rPr>
                <w:rFonts w:hint="eastAsia" w:ascii="仿宋" w:hAnsi="仿宋" w:eastAsia="仿宋" w:cs="仿宋"/>
                <w:kern w:val="2"/>
                <w:sz w:val="24"/>
                <w:szCs w:val="24"/>
                <w:highlight w:val="none"/>
                <w:lang w:val="en-US" w:eastAsia="zh-CN" w:bidi="ar-SA"/>
              </w:rPr>
              <w:fldChar w:fldCharType="end"/>
            </w:r>
            <w:r>
              <w:rPr>
                <w:rFonts w:hint="eastAsia" w:ascii="仿宋" w:hAnsi="仿宋" w:eastAsia="仿宋" w:cs="仿宋"/>
                <w:kern w:val="2"/>
                <w:sz w:val="24"/>
                <w:szCs w:val="24"/>
                <w:highlight w:val="none"/>
                <w:lang w:val="en-US" w:eastAsia="zh-CN" w:bidi="ar-SA"/>
              </w:rPr>
              <w:t xml:space="preserve">被列入信用中国网站“失信被执行人”“ 重大税收违法案件当事人名单” ； </w:t>
            </w:r>
          </w:p>
          <w:p>
            <w:pPr>
              <w:pStyle w:val="15"/>
              <w:keepNext w:val="0"/>
              <w:keepLines w:val="0"/>
              <w:pageBreakBefore w:val="0"/>
              <w:widowControl w:val="0"/>
              <w:kinsoku/>
              <w:wordWrap/>
              <w:overflowPunct/>
              <w:topLinePunct w:val="0"/>
              <w:autoSpaceDE/>
              <w:autoSpaceDN/>
              <w:bidi w:val="0"/>
              <w:adjustRightInd/>
              <w:snapToGrid/>
              <w:spacing w:after="0" w:afterLines="0" w:line="480" w:lineRule="exact"/>
              <w:ind w:firstLine="48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②被列入中国政府采购网政府采购严重违法失信行为记录名单；</w:t>
            </w:r>
          </w:p>
          <w:p>
            <w:pPr>
              <w:pStyle w:val="15"/>
              <w:keepNext w:val="0"/>
              <w:keepLines w:val="0"/>
              <w:pageBreakBefore w:val="0"/>
              <w:widowControl w:val="0"/>
              <w:kinsoku/>
              <w:wordWrap/>
              <w:overflowPunct/>
              <w:topLinePunct w:val="0"/>
              <w:autoSpaceDE/>
              <w:autoSpaceDN/>
              <w:bidi w:val="0"/>
              <w:adjustRightInd/>
              <w:snapToGrid/>
              <w:spacing w:after="0" w:afterLines="0" w:line="480" w:lineRule="exact"/>
              <w:ind w:firstLine="48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 5 \* GB2 \* MERGEFORMAT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kern w:val="2"/>
                <w:sz w:val="24"/>
                <w:szCs w:val="24"/>
                <w:highlight w:val="none"/>
                <w:lang w:val="en-US" w:eastAsia="zh-CN" w:bidi="ar-SA"/>
              </w:rPr>
              <w:t>⑸</w:t>
            </w:r>
            <w:r>
              <w:rPr>
                <w:rFonts w:hint="eastAsia" w:ascii="仿宋" w:hAnsi="仿宋" w:eastAsia="仿宋" w:cs="仿宋"/>
                <w:kern w:val="2"/>
                <w:sz w:val="24"/>
                <w:szCs w:val="24"/>
                <w:highlight w:val="none"/>
                <w:lang w:val="en-US" w:eastAsia="zh-CN" w:bidi="ar-SA"/>
              </w:rPr>
              <w:fldChar w:fldCharType="end"/>
            </w:r>
            <w:r>
              <w:rPr>
                <w:rFonts w:hint="eastAsia" w:ascii="仿宋" w:hAnsi="仿宋" w:eastAsia="仿宋" w:cs="仿宋"/>
                <w:kern w:val="2"/>
                <w:sz w:val="24"/>
                <w:szCs w:val="24"/>
                <w:highlight w:val="none"/>
                <w:lang w:val="en-US" w:eastAsia="zh-CN" w:bidi="ar-SA"/>
              </w:rPr>
              <w:t>信用信息的使用规则：供应商存在不良信用记录的，其投标文件将被拒绝；</w:t>
            </w:r>
          </w:p>
          <w:p>
            <w:pPr>
              <w:pStyle w:val="15"/>
              <w:keepNext w:val="0"/>
              <w:keepLines w:val="0"/>
              <w:pageBreakBefore w:val="0"/>
              <w:widowControl w:val="0"/>
              <w:kinsoku/>
              <w:wordWrap/>
              <w:overflowPunct/>
              <w:topLinePunct w:val="0"/>
              <w:autoSpaceDE/>
              <w:autoSpaceDN/>
              <w:bidi w:val="0"/>
              <w:adjustRightInd/>
              <w:snapToGrid/>
              <w:spacing w:after="0" w:afterLines="0" w:line="480" w:lineRule="exact"/>
              <w:ind w:firstLine="480"/>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 6 \* GB2 \* MERGEFORMAT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kern w:val="2"/>
                <w:sz w:val="24"/>
                <w:szCs w:val="24"/>
                <w:highlight w:val="none"/>
                <w:lang w:val="en-US" w:eastAsia="zh-CN" w:bidi="ar-SA"/>
              </w:rPr>
              <w:t>⑹</w:t>
            </w:r>
            <w:r>
              <w:rPr>
                <w:rFonts w:hint="eastAsia" w:ascii="仿宋" w:hAnsi="仿宋" w:eastAsia="仿宋" w:cs="仿宋"/>
                <w:kern w:val="2"/>
                <w:sz w:val="24"/>
                <w:szCs w:val="24"/>
                <w:highlight w:val="none"/>
                <w:lang w:val="en-US" w:eastAsia="zh-CN" w:bidi="ar-SA"/>
              </w:rPr>
              <w:fldChar w:fldCharType="end"/>
            </w:r>
            <w:r>
              <w:rPr>
                <w:rFonts w:hint="eastAsia" w:ascii="仿宋" w:hAnsi="仿宋" w:eastAsia="仿宋" w:cs="仿宋"/>
                <w:kern w:val="2"/>
                <w:sz w:val="24"/>
                <w:szCs w:val="24"/>
                <w:highlight w:val="none"/>
                <w:lang w:val="en-US" w:eastAsia="zh-CN" w:bidi="ar-SA"/>
              </w:rPr>
              <w:t>如允许联合体投标的，联合体成员存在不良信用记录视同联合体存在不良信用记录。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99" w:type="dxa"/>
            <w:noWrap w:val="0"/>
            <w:vAlign w:val="center"/>
          </w:tcPr>
          <w:p>
            <w:pPr>
              <w:keepNext w:val="0"/>
              <w:keepLines w:val="0"/>
              <w:pageBreakBefore w:val="0"/>
              <w:widowControl w:val="0"/>
              <w:numPr>
                <w:ilvl w:val="0"/>
                <w:numId w:val="0"/>
              </w:numPr>
              <w:kinsoku/>
              <w:wordWrap/>
              <w:overflowPunct/>
              <w:topLinePunct w:val="0"/>
              <w:bidi w:val="0"/>
              <w:spacing w:line="480" w:lineRule="exact"/>
              <w:ind w:left="0" w:firstLine="0"/>
              <w:jc w:val="center"/>
              <w:textAlignment w:val="auto"/>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SA"/>
              </w:rPr>
              <w:t>22</w:t>
            </w:r>
          </w:p>
        </w:tc>
        <w:tc>
          <w:tcPr>
            <w:tcW w:w="2327"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开标特别说明</w:t>
            </w:r>
          </w:p>
          <w:p>
            <w:pPr>
              <w:keepNext w:val="0"/>
              <w:keepLines w:val="0"/>
              <w:pageBreakBefore w:val="0"/>
              <w:widowControl w:val="0"/>
              <w:kinsoku/>
              <w:wordWrap/>
              <w:overflowPunct/>
              <w:topLinePunct w:val="0"/>
              <w:bidi w:val="0"/>
              <w:spacing w:line="480" w:lineRule="exact"/>
              <w:jc w:val="center"/>
              <w:textAlignment w:val="auto"/>
              <w:rPr>
                <w:rFonts w:hint="eastAsia" w:ascii="仿宋" w:hAnsi="仿宋" w:eastAsia="仿宋" w:cs="仿宋"/>
                <w:sz w:val="24"/>
                <w:szCs w:val="24"/>
                <w:highlight w:val="none"/>
              </w:rPr>
            </w:pPr>
          </w:p>
        </w:tc>
        <w:tc>
          <w:tcPr>
            <w:tcW w:w="6269" w:type="dxa"/>
            <w:noWrap w:val="0"/>
            <w:vAlign w:val="center"/>
          </w:tcPr>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⑴开标解密使用供应商上传的电子投标文件</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⑵因供应商原因（包括供应商自主选择的CA证书、电脑环境、网络等），造成其电子投标文件未解密的，或投标文件解密了，但投标文件无法识别、读取的，视为撤销其投标文件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⑶供应商必须使用生成电子投标文件的CA数字证书解密电子投标文件。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99" w:type="dxa"/>
            <w:noWrap w:val="0"/>
            <w:vAlign w:val="center"/>
          </w:tcPr>
          <w:p>
            <w:pPr>
              <w:keepNext w:val="0"/>
              <w:keepLines w:val="0"/>
              <w:pageBreakBefore w:val="0"/>
              <w:widowControl w:val="0"/>
              <w:numPr>
                <w:ilvl w:val="0"/>
                <w:numId w:val="0"/>
              </w:numPr>
              <w:kinsoku/>
              <w:wordWrap/>
              <w:overflowPunct/>
              <w:topLinePunct w:val="0"/>
              <w:bidi w:val="0"/>
              <w:spacing w:line="360" w:lineRule="auto"/>
              <w:ind w:left="0" w:firstLine="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23</w:t>
            </w:r>
          </w:p>
        </w:tc>
        <w:tc>
          <w:tcPr>
            <w:tcW w:w="2327"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解释</w:t>
            </w:r>
          </w:p>
        </w:tc>
        <w:tc>
          <w:tcPr>
            <w:tcW w:w="6269" w:type="dxa"/>
            <w:noWrap w:val="0"/>
            <w:vAlign w:val="center"/>
          </w:tcPr>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的解释权属于采购人和采购代理机构所有。</w:t>
            </w:r>
          </w:p>
        </w:tc>
      </w:tr>
    </w:tbl>
    <w:p>
      <w:pPr>
        <w:numPr>
          <w:ilvl w:val="0"/>
          <w:numId w:val="0"/>
        </w:numPr>
        <w:snapToGrid w:val="0"/>
        <w:spacing w:before="0" w:beforeLines="0" w:after="0" w:afterLines="0" w:line="360" w:lineRule="auto"/>
        <w:ind w:firstLine="562" w:firstLineChars="200"/>
        <w:jc w:val="left"/>
        <w:outlineLvl w:val="1"/>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二、投标人须知</w:t>
      </w:r>
      <w:bookmarkEnd w:id="53"/>
      <w:bookmarkEnd w:id="54"/>
      <w:bookmarkEnd w:id="55"/>
      <w:bookmarkEnd w:id="56"/>
      <w:bookmarkEnd w:id="57"/>
      <w:bookmarkEnd w:id="58"/>
    </w:p>
    <w:p>
      <w:pPr>
        <w:pStyle w:val="23"/>
        <w:tabs>
          <w:tab w:val="left" w:pos="0"/>
        </w:tabs>
        <w:spacing w:line="360" w:lineRule="auto"/>
        <w:ind w:firstLine="482" w:firstLineChars="200"/>
        <w:jc w:val="left"/>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 1 \* GB4 \* MERGEFORMAT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㈠</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t>总则</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1.适用范围</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适用于本次采购活动中所叙述的</w:t>
      </w:r>
      <w:r>
        <w:rPr>
          <w:rFonts w:hint="eastAsia" w:ascii="仿宋" w:hAnsi="仿宋" w:eastAsia="仿宋" w:cs="仿宋"/>
          <w:color w:val="auto"/>
          <w:sz w:val="24"/>
          <w:szCs w:val="24"/>
          <w:highlight w:val="none"/>
          <w:lang w:eastAsia="zh-CN"/>
        </w:rPr>
        <w:t>会议室设备采购项目</w:t>
      </w:r>
      <w:r>
        <w:rPr>
          <w:rFonts w:hint="eastAsia" w:ascii="仿宋" w:hAnsi="仿宋" w:eastAsia="仿宋" w:cs="仿宋"/>
          <w:color w:val="auto"/>
          <w:sz w:val="24"/>
          <w:szCs w:val="24"/>
          <w:highlight w:val="none"/>
        </w:rPr>
        <w:t>。</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2.定义解释</w:t>
      </w:r>
    </w:p>
    <w:p>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lang w:eastAsia="zh-CN"/>
        </w:rPr>
        <w:t>浙江衢州公交集团有限公司；</w:t>
      </w:r>
    </w:p>
    <w:p>
      <w:pPr>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2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⑵</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“采购代理机构”是指衢州市两山工程咨询管理有限公司</w:t>
      </w:r>
      <w:r>
        <w:rPr>
          <w:rFonts w:hint="eastAsia" w:ascii="仿宋" w:hAnsi="仿宋" w:eastAsia="仿宋" w:cs="仿宋"/>
          <w:sz w:val="24"/>
          <w:szCs w:val="24"/>
          <w:highlight w:val="none"/>
          <w:lang w:eastAsia="zh-CN"/>
        </w:rPr>
        <w:t>；</w:t>
      </w:r>
    </w:p>
    <w:p>
      <w:pPr>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3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⑶</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“项目”系指投标人按</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规定向采购人提供的货物或服务</w:t>
      </w:r>
      <w:r>
        <w:rPr>
          <w:rFonts w:hint="eastAsia" w:ascii="仿宋" w:hAnsi="仿宋" w:eastAsia="仿宋" w:cs="仿宋"/>
          <w:sz w:val="24"/>
          <w:szCs w:val="24"/>
          <w:highlight w:val="none"/>
          <w:lang w:eastAsia="zh-CN"/>
        </w:rPr>
        <w:t>；</w:t>
      </w:r>
    </w:p>
    <w:p>
      <w:pPr>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4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⑷</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“投标人”是指获得</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并向采购代理机构提交投标文件的供应商</w:t>
      </w:r>
      <w:r>
        <w:rPr>
          <w:rFonts w:hint="eastAsia" w:ascii="仿宋" w:hAnsi="仿宋" w:eastAsia="仿宋" w:cs="仿宋"/>
          <w:sz w:val="24"/>
          <w:szCs w:val="24"/>
          <w:highlight w:val="none"/>
          <w:lang w:eastAsia="zh-CN"/>
        </w:rPr>
        <w:t>；</w:t>
      </w:r>
    </w:p>
    <w:p>
      <w:pPr>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5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⑸</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“潜在投标人”是指符合</w:t>
      </w:r>
      <w:r>
        <w:rPr>
          <w:rFonts w:hint="eastAsia" w:ascii="仿宋" w:hAnsi="仿宋" w:eastAsia="仿宋" w:cs="仿宋"/>
          <w:sz w:val="24"/>
          <w:szCs w:val="24"/>
          <w:highlight w:val="none"/>
          <w:lang w:val="en-US" w:eastAsia="zh-CN"/>
        </w:rPr>
        <w:t>本</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lang w:val="en-US" w:eastAsia="zh-CN"/>
        </w:rPr>
        <w:t>中投标人资格要求</w:t>
      </w:r>
      <w:r>
        <w:rPr>
          <w:rFonts w:hint="eastAsia" w:ascii="仿宋" w:hAnsi="仿宋" w:eastAsia="仿宋" w:cs="仿宋"/>
          <w:sz w:val="24"/>
          <w:szCs w:val="24"/>
          <w:highlight w:val="none"/>
        </w:rPr>
        <w:t>的合格供应商</w:t>
      </w:r>
      <w:r>
        <w:rPr>
          <w:rFonts w:hint="eastAsia" w:ascii="仿宋" w:hAnsi="仿宋" w:eastAsia="仿宋" w:cs="仿宋"/>
          <w:sz w:val="24"/>
          <w:szCs w:val="24"/>
          <w:highlight w:val="none"/>
          <w:lang w:eastAsia="zh-CN"/>
        </w:rPr>
        <w:t>；</w:t>
      </w:r>
    </w:p>
    <w:p>
      <w:pPr>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6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⑹</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“中标人”是指经评审小组审查通过，并经</w:t>
      </w:r>
      <w:r>
        <w:rPr>
          <w:rFonts w:hint="eastAsia" w:ascii="仿宋" w:hAnsi="仿宋" w:eastAsia="仿宋" w:cs="仿宋"/>
          <w:sz w:val="24"/>
          <w:szCs w:val="24"/>
          <w:highlight w:val="none"/>
          <w:lang w:val="en-US" w:eastAsia="zh-CN"/>
        </w:rPr>
        <w:t>公告</w:t>
      </w:r>
      <w:r>
        <w:rPr>
          <w:rFonts w:hint="eastAsia" w:ascii="仿宋" w:hAnsi="仿宋" w:eastAsia="仿宋" w:cs="仿宋"/>
          <w:sz w:val="24"/>
          <w:szCs w:val="24"/>
          <w:highlight w:val="none"/>
        </w:rPr>
        <w:t>无异议的投标人</w:t>
      </w:r>
      <w:r>
        <w:rPr>
          <w:rFonts w:hint="eastAsia" w:ascii="仿宋" w:hAnsi="仿宋" w:eastAsia="仿宋" w:cs="仿宋"/>
          <w:sz w:val="24"/>
          <w:szCs w:val="24"/>
          <w:highlight w:val="none"/>
          <w:lang w:eastAsia="zh-CN"/>
        </w:rPr>
        <w:t>；</w:t>
      </w:r>
    </w:p>
    <w:p>
      <w:pPr>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7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⑺</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“投标人代表”是指投标人法定代表人或被投标人法定代表人授权委托的人</w:t>
      </w:r>
      <w:r>
        <w:rPr>
          <w:rFonts w:hint="eastAsia" w:ascii="仿宋" w:hAnsi="仿宋" w:eastAsia="仿宋" w:cs="仿宋"/>
          <w:sz w:val="24"/>
          <w:szCs w:val="24"/>
          <w:highlight w:val="none"/>
          <w:lang w:eastAsia="zh-CN"/>
        </w:rPr>
        <w:t>；</w:t>
      </w:r>
    </w:p>
    <w:p>
      <w:pPr>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8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⑻</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“货物”系指投标人按</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规定向采购人提供的各类设备、软件、产品、技术资料及使用手册等</w:t>
      </w:r>
      <w:r>
        <w:rPr>
          <w:rFonts w:hint="eastAsia" w:ascii="仿宋" w:hAnsi="仿宋" w:eastAsia="仿宋" w:cs="仿宋"/>
          <w:sz w:val="24"/>
          <w:szCs w:val="24"/>
          <w:highlight w:val="none"/>
          <w:lang w:eastAsia="zh-CN"/>
        </w:rPr>
        <w:t>；</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9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⑼</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“服务”系指</w:t>
      </w:r>
      <w:r>
        <w:rPr>
          <w:rFonts w:hint="eastAsia" w:ascii="仿宋" w:hAnsi="仿宋" w:eastAsia="仿宋" w:cs="仿宋"/>
          <w:sz w:val="24"/>
          <w:szCs w:val="24"/>
          <w:highlight w:val="none"/>
          <w:lang w:val="en-US" w:eastAsia="zh-CN"/>
        </w:rPr>
        <w:t>本项目采购内容本身及相关的售后技术支持、培训服务等相关服务；</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10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⑽</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“▲”系指按本</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要求投标人必须实质性响应的条款，有任何一项缺失或非实质性响应将取消其投标资格。</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3.项目说明</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1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⑴</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本采购项目说明详见</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投标须知前附表。</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2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⑵</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本采购项目根据《衢州市国有企业采购管理办法（试行）》（衢国资发【2020】36号）等有关法律、行政法规和部门规章，通过公开招标方式选定中标人。</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4.采购方式</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公开招标</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5.合格投标人的条件</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凡符合本</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第一章招标公告投标人资格要求的均为合格的投标人。</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6.投标费用</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无论招投标过程中的做法和结果如何，投标人自行承担招投标活动中所发生的全部费用。</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7.知识产权</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1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⑴</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投标人应保证在本项目使用的任何产品和服务（包括部分使用），不会产生因第三方提出侵犯其专利权、商标权或其它知识产权而引起法律或经济纠纷。如因专利权、商标权或其它知识产权原因引起法律或经济纠纷的，所有相关责任由投标人承担。</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2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⑵</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采购人享有本项目实施过程中产生的知识成果及知识产权。</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3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⑶</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如采用投标人所不拥有的知识产权，则在投标报价中必须包括投标人合法获得该知识产权的相关费用，无论投标人是否在投标报价中单独列明，采购人均视为投标报价已包含该部分费用。</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8.转包</w:t>
      </w:r>
      <w:r>
        <w:rPr>
          <w:rFonts w:hint="eastAsia" w:ascii="仿宋" w:hAnsi="仿宋" w:eastAsia="仿宋" w:cs="仿宋"/>
          <w:color w:val="auto"/>
          <w:sz w:val="24"/>
          <w:szCs w:val="24"/>
          <w:highlight w:val="none"/>
          <w:lang w:val="en-US" w:eastAsia="zh-CN"/>
        </w:rPr>
        <w:t>或分包</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本项目不允许转包</w:t>
      </w:r>
      <w:r>
        <w:rPr>
          <w:rFonts w:hint="eastAsia" w:ascii="仿宋" w:hAnsi="仿宋" w:eastAsia="仿宋" w:cs="仿宋"/>
          <w:color w:val="auto"/>
          <w:sz w:val="24"/>
          <w:szCs w:val="24"/>
          <w:highlight w:val="none"/>
          <w:lang w:val="en-US" w:eastAsia="zh-CN"/>
        </w:rPr>
        <w:t>或分包</w:t>
      </w:r>
      <w:r>
        <w:rPr>
          <w:rFonts w:hint="eastAsia" w:ascii="仿宋" w:hAnsi="仿宋" w:eastAsia="仿宋" w:cs="仿宋"/>
          <w:color w:val="auto"/>
          <w:sz w:val="24"/>
          <w:szCs w:val="24"/>
          <w:highlight w:val="none"/>
        </w:rPr>
        <w:t>。</w:t>
      </w:r>
    </w:p>
    <w:p>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⑵□经采购人同意后允许分包。</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9.其他</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1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⑴</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如发现</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及其评标办法中存在含糊不清、相互矛盾、多种含义以及歧视性不公正条款或违法违规等内容时，请在规定的询疑时间前同时向采购人、采购代理机构书面反映，逾期不得再对</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的条款提出质疑。</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2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⑵</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本</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及相应的补充文件、通知等解释权归采购人和采购代理机构所有。</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10.特别说明</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⑴▲多家投标人参加投标，单位负责人为同一人或者存在直接控股、管理关系的不同投</w:t>
      </w:r>
      <w:r>
        <w:rPr>
          <w:rFonts w:hint="eastAsia" w:ascii="仿宋" w:hAnsi="仿宋" w:eastAsia="仿宋" w:cs="仿宋"/>
          <w:color w:val="auto"/>
          <w:sz w:val="24"/>
          <w:szCs w:val="24"/>
          <w:highlight w:val="none"/>
        </w:rPr>
        <w:t>标人，不得参加同一合同项下的采购活动。</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相同品牌产品且通过资格审查、符合性审查的不同投标人参加同一合同项下投标的，按一家投标人计算，评审后得分最高的同品牌投标人获得中标人推荐资格；评审得分相同时，以报价低者获得中标人推荐资格。</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非单一产品采购项目中，多家投标人提供的核心产品品牌相同的，按一家投标人认定。</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⑷▲投标人投标所使用的资格、信誉、荣誉、业绩与企业认证必须为本法人（负责人）所拥有或被授权使用。</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⑸▲投标人应仔细阅读招标文件的所有内容，按照招标文件的要求提交投标文件，并对所提供的全部资料的真实性承担法律责任。</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⑹▲投标人在投标活动中提供任何虚假材料，其投标无效，并报监管部门查处。</w:t>
      </w:r>
    </w:p>
    <w:p>
      <w:pPr>
        <w:pStyle w:val="23"/>
        <w:tabs>
          <w:tab w:val="left" w:pos="0"/>
        </w:tabs>
        <w:spacing w:line="360" w:lineRule="auto"/>
        <w:ind w:firstLine="482" w:firstLineChars="200"/>
        <w:jc w:val="left"/>
        <w:outlineLvl w:val="1"/>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 2 \* GB4 \* MERGEFORMAT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㈡</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lang w:eastAsia="zh-CN"/>
        </w:rPr>
        <w:t>采购文件</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的组成</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1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⑴</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共分为六部分，其内容如下：</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第一章  招标公告</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第二章  投标须知前附表及投标须知</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第三章  采购内容及要求</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第四章  合同主要条款</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第五章  评标办法</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第六章  投标文件相关格式</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2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⑵</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除上条1.1内容外，采购人在规定时间前，以书面形式发出的对</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的澄清或修改内容，均为</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的组成部分。</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3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⑶</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投标人如在</w:t>
      </w:r>
      <w:r>
        <w:rPr>
          <w:rFonts w:hint="eastAsia" w:ascii="仿宋" w:hAnsi="仿宋" w:eastAsia="仿宋" w:cs="仿宋"/>
          <w:sz w:val="24"/>
          <w:szCs w:val="24"/>
          <w:highlight w:val="none"/>
          <w:lang w:eastAsia="zh-CN"/>
        </w:rPr>
        <w:t>法律法规</w:t>
      </w:r>
      <w:r>
        <w:rPr>
          <w:rFonts w:hint="eastAsia" w:ascii="仿宋" w:hAnsi="仿宋" w:eastAsia="仿宋" w:cs="仿宋"/>
          <w:sz w:val="24"/>
          <w:szCs w:val="24"/>
          <w:highlight w:val="none"/>
        </w:rPr>
        <w:t>规定的时间内逾期对</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提出异议的，采购人可不予受理、答复。</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的澄清与修改</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1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⑴</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采购人对</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进行必要的澄清或者修改的，在发布招标公告的网站上发布更正公告。澄清或者修改的内容可能影响投标文件编制的，更正公告在投标截止时间至少15日前发出；不足15日的，顺延提交投标文件截止时间。</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2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⑵</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更正公告为</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的组成部分，一经在网站发布，视同已通知所有</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的收受人，不再采用其它方式传达相关信息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若因未能及时了解到上述网站上发布的相关信息而导致的一切后果自行承担。</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3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⑶</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如更正公告有重新发布电子</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的，投标人应下载最新发布的电子</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制作投标文件。</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4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⑷</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投标人在规定的时间内未对</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提出疑问、质疑或要求澄清的，将视其为无异议。对</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中描述有歧义或前后不一致的地方，</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有权进行评判，但对同一条款的评判应适用于每个投标人。</w:t>
      </w:r>
    </w:p>
    <w:p>
      <w:pPr>
        <w:pStyle w:val="23"/>
        <w:tabs>
          <w:tab w:val="left" w:pos="0"/>
        </w:tabs>
        <w:spacing w:line="360" w:lineRule="auto"/>
        <w:ind w:firstLine="482" w:firstLineChars="200"/>
        <w:jc w:val="left"/>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 3 \* GB4 \* MERGEFORMAT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㈢</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t>投标文件</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1.总体要求</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1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⑴</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投标人应在认真阅读</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所有内容的基础上，按照</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的要求编制完整的投标文件。投标人应按本文件中提供的文件格式、内容和要求制作投标文件。投标文件内容不完整、编排混乱导致</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被误读、漏读或者查找不到相关内容的，是投标人的责任。</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2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⑵</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投标人必须保证投标文件所提供的全部资料真实可靠，并接受采购人对其中任何资料进一步审查的要求。投标文件中所有复印资料都须加盖单位公章（电子签章）。</w:t>
      </w:r>
    </w:p>
    <w:p>
      <w:pPr>
        <w:pStyle w:val="8"/>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3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⑶</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投标文件须对</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中的内容做出实质性和完整的响应，否则其投标将被拒绝。如果投标文件填报的内容资料不详，或没有提供</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中所要求的全部资料及数据，将会导致投标被拒绝。</w:t>
      </w:r>
    </w:p>
    <w:p>
      <w:pPr>
        <w:pStyle w:val="8"/>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⑷投标人已明知采购期间或之后企业将发生兼并改制，或提供的产品将停产、淘汰，及其他应当告知采购人可能影响采购项目实施或损害采购人利益的信息，必须在投标文件中予以特别说明，否则，采购人可以拒绝其投标文件。</w:t>
      </w:r>
    </w:p>
    <w:p>
      <w:pPr>
        <w:pStyle w:val="8"/>
        <w:ind w:firstLine="480" w:firstLineChars="200"/>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⑸由于字迹模糊或表达不清引起的后果由投标人负责。</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2.投标文件的语言及度量衡单位</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1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⑴</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除采购设备有关专用名称、型号外，投标文件与招标有关的所有文件说明均应使用中文。</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2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⑵</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除采购项目规范另有规定外，投标文件使用的度量衡单位，均采用中华人民共和国法定计量单位。</w:t>
      </w:r>
    </w:p>
    <w:p>
      <w:pPr>
        <w:snapToGrid w:val="0"/>
        <w:spacing w:line="360" w:lineRule="auto"/>
        <w:ind w:firstLine="480" w:firstLineChars="200"/>
        <w:rPr>
          <w:rFonts w:hint="eastAsia" w:ascii="仿宋" w:hAnsi="仿宋" w:eastAsia="仿宋" w:cs="仿宋"/>
          <w:sz w:val="24"/>
          <w:szCs w:val="24"/>
          <w:highlight w:val="none"/>
        </w:rPr>
      </w:pPr>
      <w:bookmarkStart w:id="59" w:name="_Toc13231"/>
      <w:bookmarkStart w:id="60" w:name="_Toc20709"/>
      <w:bookmarkStart w:id="61" w:name="_Toc14048"/>
      <w:bookmarkStart w:id="62" w:name="_Toc356371435"/>
      <w:bookmarkStart w:id="63" w:name="_Toc22452"/>
      <w:bookmarkStart w:id="64" w:name="_Toc359856800"/>
      <w:r>
        <w:rPr>
          <w:rFonts w:hint="eastAsia" w:ascii="仿宋" w:hAnsi="仿宋" w:eastAsia="仿宋" w:cs="仿宋"/>
          <w:sz w:val="24"/>
          <w:szCs w:val="24"/>
          <w:highlight w:val="none"/>
        </w:rPr>
        <w:t>3.投标文件的编制</w:t>
      </w:r>
      <w:bookmarkEnd w:id="59"/>
      <w:bookmarkEnd w:id="60"/>
      <w:bookmarkEnd w:id="61"/>
      <w:bookmarkEnd w:id="62"/>
      <w:bookmarkEnd w:id="63"/>
      <w:bookmarkEnd w:id="64"/>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1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⑴</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投标文件由【资格审查文件】、【商务技术文件】和【报价文件】三部分组成，其中“资格审查文件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商务技术文件”部分不得包含与本次项目有关的报价，否则作无效标处理。电子投标文件中须加盖公章部分均采用CA签章。</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2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⑵</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w:t>
      </w:r>
      <w:r>
        <w:rPr>
          <w:rFonts w:hint="eastAsia" w:ascii="仿宋" w:hAnsi="仿宋" w:eastAsia="仿宋" w:cs="仿宋"/>
          <w:b/>
          <w:bCs/>
          <w:sz w:val="24"/>
          <w:szCs w:val="24"/>
          <w:highlight w:val="none"/>
        </w:rPr>
        <w:t>资格审查文件</w:t>
      </w:r>
      <w:r>
        <w:rPr>
          <w:rFonts w:hint="eastAsia" w:ascii="仿宋" w:hAnsi="仿宋" w:eastAsia="仿宋" w:cs="仿宋"/>
          <w:sz w:val="24"/>
          <w:szCs w:val="24"/>
          <w:highlight w:val="none"/>
        </w:rPr>
        <w:t>】包括但不限于以下内容：</w:t>
      </w:r>
    </w:p>
    <w:p>
      <w:pPr>
        <w:numPr>
          <w:ilvl w:val="0"/>
          <w:numId w:val="0"/>
        </w:numPr>
        <w:tabs>
          <w:tab w:val="left" w:pos="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kern w:val="2"/>
          <w:sz w:val="24"/>
          <w:szCs w:val="24"/>
          <w:highlight w:val="none"/>
          <w:lang w:val="en-US" w:eastAsia="zh-CN" w:bidi="ar-SA"/>
        </w:rPr>
        <w:t>①</w:t>
      </w:r>
      <w:r>
        <w:rPr>
          <w:rFonts w:hint="eastAsia" w:ascii="仿宋" w:hAnsi="仿宋" w:eastAsia="仿宋" w:cs="仿宋"/>
          <w:sz w:val="24"/>
          <w:szCs w:val="24"/>
          <w:highlight w:val="none"/>
        </w:rPr>
        <w:t>供应商基本情况表（格式见附件）；</w:t>
      </w:r>
    </w:p>
    <w:p>
      <w:pPr>
        <w:numPr>
          <w:ilvl w:val="0"/>
          <w:numId w:val="0"/>
        </w:numPr>
        <w:tabs>
          <w:tab w:val="left" w:pos="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▲②法定代表人身份证明或法定代表人授权委托书（格式见附件）；</w:t>
      </w:r>
    </w:p>
    <w:p>
      <w:pPr>
        <w:numPr>
          <w:ilvl w:val="0"/>
          <w:numId w:val="0"/>
        </w:numPr>
        <w:tabs>
          <w:tab w:val="left" w:pos="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kern w:val="2"/>
          <w:sz w:val="24"/>
          <w:szCs w:val="24"/>
          <w:highlight w:val="none"/>
          <w:lang w:val="en-US" w:eastAsia="zh-CN" w:bidi="ar-SA"/>
        </w:rPr>
        <w:t>③</w:t>
      </w:r>
      <w:r>
        <w:rPr>
          <w:rFonts w:hint="eastAsia" w:ascii="仿宋" w:hAnsi="仿宋" w:eastAsia="仿宋" w:cs="仿宋"/>
          <w:sz w:val="24"/>
          <w:szCs w:val="24"/>
          <w:highlight w:val="none"/>
        </w:rPr>
        <w:t>有效期内的营业执照（或事业法人登记证书或其它工商等登记证明材料）扫描件；</w:t>
      </w:r>
    </w:p>
    <w:p>
      <w:pPr>
        <w:numPr>
          <w:ilvl w:val="0"/>
          <w:numId w:val="0"/>
        </w:numPr>
        <w:tabs>
          <w:tab w:val="left" w:pos="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 4 \* GB3 \* MERGEFORMAT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sz w:val="24"/>
          <w:szCs w:val="24"/>
          <w:highlight w:val="none"/>
        </w:rPr>
        <w:t>④</w:t>
      </w:r>
      <w:r>
        <w:rPr>
          <w:rFonts w:hint="eastAsia" w:ascii="仿宋" w:hAnsi="仿宋" w:eastAsia="仿宋" w:cs="仿宋"/>
          <w:kern w:val="2"/>
          <w:sz w:val="24"/>
          <w:szCs w:val="24"/>
          <w:highlight w:val="none"/>
          <w:lang w:val="en-US" w:eastAsia="zh-CN" w:bidi="ar-SA"/>
        </w:rPr>
        <w:fldChar w:fldCharType="end"/>
      </w:r>
      <w:r>
        <w:rPr>
          <w:rFonts w:hint="eastAsia" w:ascii="仿宋" w:hAnsi="仿宋" w:eastAsia="仿宋" w:cs="仿宋"/>
          <w:sz w:val="24"/>
          <w:szCs w:val="24"/>
          <w:highlight w:val="none"/>
        </w:rPr>
        <w:t>符合参加国企采购活动应当具备的一般条件的承诺函（格式见附件）；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3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⑶</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w:t>
      </w:r>
      <w:r>
        <w:rPr>
          <w:rFonts w:hint="eastAsia" w:ascii="仿宋" w:hAnsi="仿宋" w:eastAsia="仿宋" w:cs="仿宋"/>
          <w:b/>
          <w:bCs/>
          <w:sz w:val="24"/>
          <w:szCs w:val="24"/>
          <w:highlight w:val="none"/>
        </w:rPr>
        <w:t>商务技术文件</w:t>
      </w:r>
      <w:r>
        <w:rPr>
          <w:rFonts w:hint="eastAsia" w:ascii="仿宋" w:hAnsi="仿宋" w:eastAsia="仿宋" w:cs="仿宋"/>
          <w:sz w:val="24"/>
          <w:szCs w:val="24"/>
          <w:highlight w:val="none"/>
        </w:rPr>
        <w:t>】包括但不限于以下内容：</w:t>
      </w:r>
    </w:p>
    <w:p>
      <w:pPr>
        <w:numPr>
          <w:ilvl w:val="0"/>
          <w:numId w:val="0"/>
        </w:numPr>
        <w:tabs>
          <w:tab w:val="left" w:pos="0"/>
        </w:tabs>
        <w:snapToGrid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kern w:val="2"/>
          <w:sz w:val="24"/>
          <w:szCs w:val="24"/>
          <w:highlight w:val="none"/>
          <w:lang w:val="en-US" w:eastAsia="zh-CN" w:bidi="ar-SA"/>
        </w:rPr>
        <w:t>①</w:t>
      </w:r>
      <w:r>
        <w:rPr>
          <w:rFonts w:hint="eastAsia" w:ascii="仿宋" w:hAnsi="仿宋" w:eastAsia="仿宋" w:cs="仿宋"/>
          <w:bCs/>
          <w:sz w:val="24"/>
          <w:szCs w:val="24"/>
          <w:highlight w:val="none"/>
        </w:rPr>
        <w:t>评分索引表</w:t>
      </w:r>
      <w:r>
        <w:rPr>
          <w:rFonts w:hint="eastAsia" w:ascii="仿宋" w:hAnsi="仿宋" w:eastAsia="仿宋" w:cs="仿宋"/>
          <w:sz w:val="24"/>
          <w:szCs w:val="24"/>
          <w:highlight w:val="none"/>
        </w:rPr>
        <w:t>（格式见附件）</w:t>
      </w:r>
      <w:r>
        <w:rPr>
          <w:rFonts w:hint="eastAsia" w:ascii="仿宋" w:hAnsi="仿宋" w:eastAsia="仿宋" w:cs="仿宋"/>
          <w:bCs/>
          <w:sz w:val="24"/>
          <w:szCs w:val="24"/>
          <w:highlight w:val="none"/>
        </w:rPr>
        <w:t>；</w:t>
      </w:r>
    </w:p>
    <w:p>
      <w:pPr>
        <w:pStyle w:val="23"/>
        <w:numPr>
          <w:ilvl w:val="0"/>
          <w:numId w:val="0"/>
        </w:numPr>
        <w:tabs>
          <w:tab w:val="left" w:pos="0"/>
        </w:tabs>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sz w:val="24"/>
          <w:szCs w:val="24"/>
          <w:highlight w:val="none"/>
        </w:rPr>
        <w:t>▲</w:t>
      </w:r>
      <w:r>
        <w:rPr>
          <w:rFonts w:hint="eastAsia" w:ascii="仿宋" w:hAnsi="仿宋" w:eastAsia="仿宋" w:cs="仿宋"/>
          <w:bCs/>
          <w:sz w:val="24"/>
          <w:szCs w:val="24"/>
          <w:highlight w:val="none"/>
        </w:rPr>
        <w:t>②投标函</w:t>
      </w:r>
      <w:r>
        <w:rPr>
          <w:rFonts w:hint="eastAsia" w:ascii="仿宋" w:hAnsi="仿宋" w:eastAsia="仿宋" w:cs="仿宋"/>
          <w:sz w:val="24"/>
          <w:szCs w:val="24"/>
          <w:highlight w:val="none"/>
        </w:rPr>
        <w:t>（格式见附件）</w:t>
      </w:r>
      <w:r>
        <w:rPr>
          <w:rFonts w:hint="eastAsia" w:ascii="仿宋" w:hAnsi="仿宋" w:eastAsia="仿宋" w:cs="仿宋"/>
          <w:bCs/>
          <w:sz w:val="24"/>
          <w:szCs w:val="24"/>
          <w:highlight w:val="none"/>
        </w:rPr>
        <w:t>；</w:t>
      </w:r>
    </w:p>
    <w:p>
      <w:pPr>
        <w:pStyle w:val="23"/>
        <w:numPr>
          <w:ilvl w:val="0"/>
          <w:numId w:val="0"/>
        </w:numPr>
        <w:tabs>
          <w:tab w:val="left" w:pos="0"/>
        </w:tabs>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kern w:val="2"/>
          <w:sz w:val="24"/>
          <w:szCs w:val="24"/>
          <w:highlight w:val="none"/>
          <w:lang w:val="en-US" w:eastAsia="zh-CN" w:bidi="ar-SA"/>
        </w:rPr>
        <w:t>③</w:t>
      </w:r>
      <w:r>
        <w:rPr>
          <w:rFonts w:hint="eastAsia" w:ascii="仿宋" w:hAnsi="仿宋" w:eastAsia="仿宋" w:cs="仿宋"/>
          <w:bCs/>
          <w:sz w:val="24"/>
          <w:szCs w:val="24"/>
          <w:highlight w:val="none"/>
        </w:rPr>
        <w:t>业绩一览表</w:t>
      </w:r>
      <w:r>
        <w:rPr>
          <w:rFonts w:hint="eastAsia" w:ascii="仿宋" w:hAnsi="仿宋" w:eastAsia="仿宋" w:cs="仿宋"/>
          <w:sz w:val="24"/>
          <w:szCs w:val="24"/>
          <w:highlight w:val="none"/>
        </w:rPr>
        <w:t>（格式见附件）</w:t>
      </w:r>
      <w:r>
        <w:rPr>
          <w:rFonts w:hint="eastAsia" w:ascii="仿宋" w:hAnsi="仿宋" w:eastAsia="仿宋" w:cs="仿宋"/>
          <w:bCs/>
          <w:sz w:val="24"/>
          <w:szCs w:val="24"/>
          <w:highlight w:val="none"/>
        </w:rPr>
        <w:t>；</w:t>
      </w:r>
    </w:p>
    <w:p>
      <w:pPr>
        <w:pStyle w:val="23"/>
        <w:numPr>
          <w:ilvl w:val="0"/>
          <w:numId w:val="0"/>
        </w:numPr>
        <w:tabs>
          <w:tab w:val="left" w:pos="0"/>
        </w:tabs>
        <w:spacing w:line="36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 4 \* GB3 \* MERGEFORMAT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sz w:val="24"/>
          <w:szCs w:val="24"/>
          <w:highlight w:val="none"/>
        </w:rPr>
        <w:t>④</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sz w:val="24"/>
          <w:szCs w:val="24"/>
          <w:highlight w:val="none"/>
        </w:rPr>
        <w:t>偏离表</w:t>
      </w:r>
      <w:r>
        <w:rPr>
          <w:rFonts w:hint="eastAsia" w:ascii="仿宋" w:hAnsi="仿宋" w:eastAsia="仿宋" w:cs="仿宋"/>
          <w:sz w:val="24"/>
          <w:szCs w:val="24"/>
          <w:highlight w:val="none"/>
        </w:rPr>
        <w:t>（格式见附件）</w:t>
      </w:r>
      <w:r>
        <w:rPr>
          <w:rFonts w:hint="eastAsia" w:ascii="仿宋" w:hAnsi="仿宋" w:eastAsia="仿宋" w:cs="仿宋"/>
          <w:sz w:val="24"/>
          <w:szCs w:val="24"/>
          <w:highlight w:val="none"/>
          <w:lang w:eastAsia="zh-CN"/>
        </w:rPr>
        <w:t>；</w:t>
      </w:r>
    </w:p>
    <w:p>
      <w:pPr>
        <w:pStyle w:val="23"/>
        <w:numPr>
          <w:ilvl w:val="0"/>
          <w:numId w:val="0"/>
        </w:numPr>
        <w:tabs>
          <w:tab w:val="left" w:pos="0"/>
        </w:tabs>
        <w:spacing w:line="360" w:lineRule="auto"/>
        <w:ind w:firstLine="480" w:firstLineChars="200"/>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w:t>
      </w:r>
      <w:r>
        <w:rPr>
          <w:rFonts w:hint="eastAsia" w:ascii="仿宋" w:hAnsi="仿宋" w:eastAsia="仿宋" w:cs="仿宋"/>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 5 \* GB3 \* MERGEFORMAT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sz w:val="24"/>
          <w:szCs w:val="24"/>
          <w:highlight w:val="none"/>
        </w:rPr>
        <w:t>⑤</w:t>
      </w:r>
      <w:r>
        <w:rPr>
          <w:rFonts w:hint="eastAsia" w:ascii="仿宋" w:hAnsi="仿宋" w:eastAsia="仿宋" w:cs="仿宋"/>
          <w:kern w:val="2"/>
          <w:sz w:val="24"/>
          <w:szCs w:val="24"/>
          <w:highlight w:val="none"/>
          <w:lang w:val="en-US" w:eastAsia="zh-CN" w:bidi="ar-SA"/>
        </w:rPr>
        <w:fldChar w:fldCharType="end"/>
      </w:r>
      <w:r>
        <w:rPr>
          <w:rFonts w:hint="eastAsia" w:ascii="仿宋" w:hAnsi="仿宋" w:eastAsia="仿宋" w:cs="仿宋"/>
          <w:kern w:val="2"/>
          <w:sz w:val="24"/>
          <w:szCs w:val="24"/>
          <w:highlight w:val="none"/>
          <w:lang w:val="en-US" w:eastAsia="zh-CN" w:bidi="ar-SA"/>
        </w:rPr>
        <w:t>交货期承诺函；</w:t>
      </w:r>
    </w:p>
    <w:p>
      <w:pPr>
        <w:pStyle w:val="23"/>
        <w:numPr>
          <w:ilvl w:val="0"/>
          <w:numId w:val="0"/>
        </w:numPr>
        <w:tabs>
          <w:tab w:val="left" w:pos="0"/>
        </w:tabs>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 6 \* GB3 \* MERGEFORMAT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sz w:val="24"/>
          <w:szCs w:val="24"/>
          <w:highlight w:val="none"/>
        </w:rPr>
        <w:t>⑥</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sz w:val="24"/>
          <w:szCs w:val="24"/>
          <w:highlight w:val="none"/>
        </w:rPr>
        <w:t>投标人按照评分标准要求提供的相应资料；</w:t>
      </w:r>
    </w:p>
    <w:p>
      <w:pPr>
        <w:pStyle w:val="23"/>
        <w:numPr>
          <w:ilvl w:val="0"/>
          <w:numId w:val="0"/>
        </w:numPr>
        <w:tabs>
          <w:tab w:val="left" w:pos="0"/>
        </w:tabs>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 7 \* GB3 \* MERGEFORMAT </w:instrText>
      </w:r>
      <w:r>
        <w:rPr>
          <w:rFonts w:hint="eastAsia" w:ascii="仿宋" w:hAnsi="仿宋" w:eastAsia="仿宋" w:cs="仿宋"/>
          <w:bCs/>
          <w:kern w:val="2"/>
          <w:sz w:val="24"/>
          <w:szCs w:val="24"/>
          <w:highlight w:val="none"/>
          <w:lang w:val="en-US" w:eastAsia="zh-CN" w:bidi="ar-SA"/>
        </w:rPr>
        <w:fldChar w:fldCharType="separate"/>
      </w:r>
      <w:r>
        <w:t>⑦</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sz w:val="24"/>
          <w:szCs w:val="24"/>
          <w:highlight w:val="none"/>
        </w:rPr>
        <w:t>投标人认为需要的其他内容（格式</w:t>
      </w:r>
      <w:r>
        <w:rPr>
          <w:rFonts w:hint="eastAsia" w:ascii="仿宋" w:hAnsi="仿宋" w:eastAsia="仿宋" w:cs="仿宋"/>
          <w:sz w:val="24"/>
          <w:szCs w:val="24"/>
          <w:highlight w:val="none"/>
        </w:rPr>
        <w:t>自拟）。</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4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⑷</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w:t>
      </w:r>
      <w:r>
        <w:rPr>
          <w:rFonts w:hint="eastAsia" w:ascii="仿宋" w:hAnsi="仿宋" w:eastAsia="仿宋" w:cs="仿宋"/>
          <w:b/>
          <w:bCs/>
          <w:sz w:val="24"/>
          <w:szCs w:val="24"/>
          <w:highlight w:val="none"/>
        </w:rPr>
        <w:t>报价文件</w:t>
      </w:r>
      <w:r>
        <w:rPr>
          <w:rFonts w:hint="eastAsia" w:ascii="仿宋" w:hAnsi="仿宋" w:eastAsia="仿宋" w:cs="仿宋"/>
          <w:sz w:val="24"/>
          <w:szCs w:val="24"/>
          <w:highlight w:val="none"/>
        </w:rPr>
        <w:t>】包括但不限于以下内容：</w:t>
      </w:r>
    </w:p>
    <w:p>
      <w:pPr>
        <w:numPr>
          <w:ilvl w:val="-1"/>
          <w:numId w:val="0"/>
        </w:numPr>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kern w:val="2"/>
          <w:sz w:val="24"/>
          <w:szCs w:val="24"/>
          <w:highlight w:val="none"/>
          <w:lang w:val="en-US" w:eastAsia="zh-CN" w:bidi="ar-SA"/>
        </w:rPr>
        <w:t>①</w:t>
      </w:r>
      <w:r>
        <w:rPr>
          <w:rFonts w:hint="eastAsia" w:ascii="仿宋" w:hAnsi="仿宋" w:eastAsia="仿宋" w:cs="仿宋"/>
          <w:sz w:val="24"/>
          <w:szCs w:val="24"/>
          <w:highlight w:val="none"/>
        </w:rPr>
        <w:t>开标一览表；</w:t>
      </w:r>
    </w:p>
    <w:p>
      <w:pPr>
        <w:pStyle w:val="23"/>
        <w:numPr>
          <w:ilvl w:val="0"/>
          <w:numId w:val="0"/>
        </w:numPr>
        <w:tabs>
          <w:tab w:val="left" w:pos="0"/>
        </w:tabs>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sz w:val="24"/>
          <w:szCs w:val="24"/>
          <w:highlight w:val="none"/>
        </w:rPr>
        <w:t>▲②</w:t>
      </w:r>
      <w:r>
        <w:rPr>
          <w:rFonts w:hint="eastAsia" w:ascii="仿宋" w:hAnsi="仿宋" w:eastAsia="仿宋" w:cs="仿宋"/>
          <w:bCs/>
          <w:sz w:val="24"/>
          <w:szCs w:val="24"/>
          <w:highlight w:val="none"/>
        </w:rPr>
        <w:t>报价明细表；</w:t>
      </w:r>
    </w:p>
    <w:p>
      <w:pPr>
        <w:pStyle w:val="23"/>
        <w:numPr>
          <w:ilvl w:val="0"/>
          <w:numId w:val="0"/>
        </w:numPr>
        <w:tabs>
          <w:tab w:val="left" w:pos="0"/>
        </w:tabs>
        <w:spacing w:line="360" w:lineRule="auto"/>
        <w:ind w:firstLine="480" w:firstLineChars="200"/>
        <w:jc w:val="left"/>
        <w:rPr>
          <w:rFonts w:hint="eastAsia" w:ascii="仿宋" w:hAnsi="仿宋" w:eastAsia="仿宋" w:cs="仿宋"/>
          <w:bCs/>
          <w:sz w:val="24"/>
          <w:szCs w:val="24"/>
          <w:highlight w:val="none"/>
          <w:lang w:eastAsia="zh-CN"/>
        </w:rPr>
      </w:pPr>
      <w:r>
        <w:rPr>
          <w:rFonts w:hint="eastAsia" w:ascii="仿宋" w:hAnsi="仿宋" w:eastAsia="仿宋" w:cs="仿宋"/>
          <w:kern w:val="2"/>
          <w:sz w:val="24"/>
          <w:szCs w:val="24"/>
          <w:highlight w:val="none"/>
          <w:lang w:val="en-US" w:eastAsia="zh-CN" w:bidi="ar-SA"/>
        </w:rPr>
        <w:t>③</w:t>
      </w:r>
      <w:r>
        <w:rPr>
          <w:rFonts w:hint="eastAsia" w:ascii="仿宋" w:hAnsi="仿宋" w:eastAsia="仿宋" w:cs="仿宋"/>
          <w:bCs/>
          <w:sz w:val="24"/>
          <w:szCs w:val="24"/>
          <w:highlight w:val="none"/>
        </w:rPr>
        <w:t>投标人认为需要提供的其他相关资料（如有）</w:t>
      </w:r>
      <w:r>
        <w:rPr>
          <w:rFonts w:hint="eastAsia" w:ascii="仿宋" w:hAnsi="仿宋" w:eastAsia="仿宋" w:cs="仿宋"/>
          <w:bCs/>
          <w:sz w:val="24"/>
          <w:szCs w:val="24"/>
          <w:highlight w:val="none"/>
          <w:lang w:eastAsia="zh-CN"/>
        </w:rPr>
        <w:t>。</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4.投标文件的编制格式及说明</w:t>
      </w:r>
    </w:p>
    <w:p>
      <w:pPr>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fldChar w:fldCharType="begin"/>
      </w:r>
      <w:r>
        <w:rPr>
          <w:rFonts w:hint="eastAsia" w:ascii="仿宋" w:hAnsi="仿宋" w:eastAsia="仿宋" w:cs="仿宋"/>
          <w:b w:val="0"/>
          <w:bCs w:val="0"/>
          <w:sz w:val="24"/>
          <w:szCs w:val="24"/>
          <w:highlight w:val="none"/>
          <w:lang w:val="en-US" w:eastAsia="zh-CN"/>
        </w:rPr>
        <w:instrText xml:space="preserve"> = 1 \* GB2 \* MERGEFORMAT </w:instrText>
      </w:r>
      <w:r>
        <w:rPr>
          <w:rFonts w:hint="eastAsia" w:ascii="仿宋" w:hAnsi="仿宋" w:eastAsia="仿宋" w:cs="仿宋"/>
          <w:b w:val="0"/>
          <w:bCs w:val="0"/>
          <w:sz w:val="24"/>
          <w:szCs w:val="24"/>
          <w:highlight w:val="none"/>
          <w:lang w:val="en-US" w:eastAsia="zh-CN"/>
        </w:rPr>
        <w:fldChar w:fldCharType="separate"/>
      </w:r>
      <w:r>
        <w:rPr>
          <w:rFonts w:hint="eastAsia" w:ascii="仿宋" w:hAnsi="仿宋" w:eastAsia="仿宋" w:cs="仿宋"/>
          <w:b w:val="0"/>
          <w:bCs w:val="0"/>
          <w:sz w:val="24"/>
          <w:szCs w:val="24"/>
          <w:highlight w:val="none"/>
        </w:rPr>
        <w:t>⑴</w:t>
      </w:r>
      <w:r>
        <w:rPr>
          <w:rFonts w:hint="eastAsia" w:ascii="仿宋" w:hAnsi="仿宋" w:eastAsia="仿宋" w:cs="仿宋"/>
          <w:b w:val="0"/>
          <w:bCs w:val="0"/>
          <w:sz w:val="24"/>
          <w:szCs w:val="24"/>
          <w:highlight w:val="none"/>
          <w:lang w:val="en-US" w:eastAsia="zh-CN"/>
        </w:rPr>
        <w:fldChar w:fldCharType="end"/>
      </w:r>
      <w:r>
        <w:rPr>
          <w:rFonts w:hint="eastAsia" w:ascii="仿宋" w:hAnsi="仿宋" w:eastAsia="仿宋" w:cs="仿宋"/>
          <w:b w:val="0"/>
          <w:bCs w:val="0"/>
          <w:sz w:val="24"/>
          <w:szCs w:val="24"/>
          <w:highlight w:val="none"/>
        </w:rPr>
        <w:t>请投标人在编制投标文件时仔细阅读本</w:t>
      </w:r>
      <w:r>
        <w:rPr>
          <w:rFonts w:hint="eastAsia" w:ascii="仿宋" w:hAnsi="仿宋" w:eastAsia="仿宋" w:cs="仿宋"/>
          <w:b w:val="0"/>
          <w:bCs w:val="0"/>
          <w:sz w:val="24"/>
          <w:szCs w:val="24"/>
          <w:highlight w:val="none"/>
          <w:lang w:eastAsia="zh-CN"/>
        </w:rPr>
        <w:t>采购文件</w:t>
      </w:r>
      <w:r>
        <w:rPr>
          <w:rFonts w:hint="eastAsia" w:ascii="仿宋" w:hAnsi="仿宋" w:eastAsia="仿宋" w:cs="仿宋"/>
          <w:b w:val="0"/>
          <w:bCs w:val="0"/>
          <w:sz w:val="24"/>
          <w:szCs w:val="24"/>
          <w:highlight w:val="none"/>
        </w:rPr>
        <w:t>及其他辅助资料，根据本</w:t>
      </w:r>
      <w:r>
        <w:rPr>
          <w:rFonts w:hint="eastAsia" w:ascii="仿宋" w:hAnsi="仿宋" w:eastAsia="仿宋" w:cs="仿宋"/>
          <w:b w:val="0"/>
          <w:bCs w:val="0"/>
          <w:sz w:val="24"/>
          <w:szCs w:val="24"/>
          <w:highlight w:val="none"/>
          <w:lang w:eastAsia="zh-CN"/>
        </w:rPr>
        <w:t>采购文件</w:t>
      </w:r>
      <w:r>
        <w:rPr>
          <w:rFonts w:hint="eastAsia" w:ascii="仿宋" w:hAnsi="仿宋" w:eastAsia="仿宋" w:cs="仿宋"/>
          <w:b w:val="0"/>
          <w:bCs w:val="0"/>
          <w:sz w:val="24"/>
          <w:szCs w:val="24"/>
          <w:highlight w:val="none"/>
        </w:rPr>
        <w:t>中评标原则及</w:t>
      </w:r>
      <w:r>
        <w:rPr>
          <w:rFonts w:hint="eastAsia" w:ascii="仿宋" w:hAnsi="仿宋" w:eastAsia="仿宋" w:cs="仿宋"/>
          <w:b w:val="0"/>
          <w:bCs w:val="0"/>
          <w:sz w:val="24"/>
          <w:szCs w:val="24"/>
          <w:highlight w:val="none"/>
          <w:lang w:val="en-US" w:eastAsia="zh-CN"/>
        </w:rPr>
        <w:t>评分标准</w:t>
      </w:r>
      <w:r>
        <w:rPr>
          <w:rFonts w:hint="eastAsia" w:ascii="仿宋" w:hAnsi="仿宋" w:eastAsia="仿宋" w:cs="仿宋"/>
          <w:b w:val="0"/>
          <w:bCs w:val="0"/>
          <w:sz w:val="24"/>
          <w:szCs w:val="24"/>
          <w:highlight w:val="none"/>
        </w:rPr>
        <w:t>中所列内容结合自身情况据实提供相关资料。所</w:t>
      </w:r>
      <w:r>
        <w:rPr>
          <w:rFonts w:hint="eastAsia" w:ascii="仿宋" w:hAnsi="仿宋" w:eastAsia="仿宋" w:cs="仿宋"/>
          <w:b w:val="0"/>
          <w:bCs w:val="0"/>
          <w:sz w:val="24"/>
          <w:szCs w:val="24"/>
          <w:highlight w:val="none"/>
          <w:lang w:val="en-US" w:eastAsia="zh-CN"/>
        </w:rPr>
        <w:t>提供的</w:t>
      </w:r>
      <w:r>
        <w:rPr>
          <w:rFonts w:hint="eastAsia" w:ascii="仿宋" w:hAnsi="仿宋" w:eastAsia="仿宋" w:cs="仿宋"/>
          <w:b w:val="0"/>
          <w:bCs w:val="0"/>
          <w:sz w:val="24"/>
          <w:szCs w:val="24"/>
          <w:highlight w:val="none"/>
        </w:rPr>
        <w:t>各种证书、证件、证明、执照须加盖电子签章并制作在投标文件内</w:t>
      </w:r>
      <w:r>
        <w:rPr>
          <w:rFonts w:hint="eastAsia" w:ascii="仿宋" w:hAnsi="仿宋" w:eastAsia="仿宋" w:cs="仿宋"/>
          <w:b w:val="0"/>
          <w:bCs w:val="0"/>
          <w:sz w:val="24"/>
          <w:szCs w:val="24"/>
          <w:highlight w:val="none"/>
          <w:lang w:val="en-US" w:eastAsia="zh-CN"/>
        </w:rPr>
        <w:t>。</w:t>
      </w:r>
    </w:p>
    <w:p>
      <w:pPr>
        <w:pStyle w:val="23"/>
        <w:spacing w:line="360" w:lineRule="auto"/>
        <w:ind w:firstLine="480" w:firstLineChars="20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 2 \* GB2 \* MERGEFORMAT </w:instrText>
      </w:r>
      <w:r>
        <w:rPr>
          <w:rFonts w:hint="eastAsia" w:ascii="仿宋" w:hAnsi="仿宋" w:eastAsia="仿宋" w:cs="仿宋"/>
          <w:b w:val="0"/>
          <w:bCs w:val="0"/>
          <w:sz w:val="24"/>
          <w:szCs w:val="24"/>
          <w:highlight w:val="none"/>
        </w:rPr>
        <w:fldChar w:fldCharType="separate"/>
      </w:r>
      <w:r>
        <w:rPr>
          <w:rFonts w:hint="eastAsia" w:ascii="仿宋" w:hAnsi="仿宋" w:eastAsia="仿宋" w:cs="仿宋"/>
          <w:b w:val="0"/>
          <w:bCs w:val="0"/>
          <w:sz w:val="24"/>
          <w:szCs w:val="24"/>
          <w:highlight w:val="none"/>
        </w:rPr>
        <w:t>⑵</w:t>
      </w:r>
      <w:r>
        <w:rPr>
          <w:rFonts w:hint="eastAsia" w:ascii="仿宋" w:hAnsi="仿宋" w:eastAsia="仿宋" w:cs="仿宋"/>
          <w:b w:val="0"/>
          <w:bCs w:val="0"/>
          <w:sz w:val="24"/>
          <w:szCs w:val="24"/>
          <w:highlight w:val="none"/>
        </w:rPr>
        <w:fldChar w:fldCharType="end"/>
      </w:r>
      <w:r>
        <w:rPr>
          <w:rFonts w:hint="eastAsia" w:ascii="仿宋" w:hAnsi="仿宋" w:eastAsia="仿宋" w:cs="仿宋"/>
          <w:b w:val="0"/>
          <w:bCs w:val="0"/>
          <w:sz w:val="24"/>
          <w:szCs w:val="24"/>
          <w:highlight w:val="none"/>
        </w:rPr>
        <w:t>投标文件应包括规定的内容，投标人提交的投标文件应当按</w:t>
      </w:r>
      <w:r>
        <w:rPr>
          <w:rFonts w:hint="eastAsia" w:ascii="仿宋" w:hAnsi="仿宋" w:eastAsia="仿宋" w:cs="仿宋"/>
          <w:b w:val="0"/>
          <w:bCs w:val="0"/>
          <w:sz w:val="24"/>
          <w:szCs w:val="24"/>
          <w:highlight w:val="none"/>
          <w:lang w:eastAsia="zh-CN"/>
        </w:rPr>
        <w:t>采购文件</w:t>
      </w:r>
      <w:r>
        <w:rPr>
          <w:rFonts w:hint="eastAsia" w:ascii="仿宋" w:hAnsi="仿宋" w:eastAsia="仿宋" w:cs="仿宋"/>
          <w:b w:val="0"/>
          <w:bCs w:val="0"/>
          <w:sz w:val="24"/>
          <w:szCs w:val="24"/>
          <w:highlight w:val="none"/>
          <w:lang w:val="en-US" w:eastAsia="zh-CN"/>
        </w:rPr>
        <w:t>要求</w:t>
      </w:r>
      <w:r>
        <w:rPr>
          <w:rFonts w:hint="eastAsia" w:ascii="仿宋" w:hAnsi="仿宋" w:eastAsia="仿宋" w:cs="仿宋"/>
          <w:b w:val="0"/>
          <w:bCs w:val="0"/>
          <w:sz w:val="24"/>
          <w:szCs w:val="24"/>
          <w:highlight w:val="none"/>
        </w:rPr>
        <w:t>提供的格式（格式可以按同样格式扩展）</w:t>
      </w:r>
      <w:r>
        <w:rPr>
          <w:rFonts w:hint="eastAsia" w:ascii="仿宋" w:hAnsi="仿宋" w:eastAsia="仿宋" w:cs="仿宋"/>
          <w:b w:val="0"/>
          <w:bCs w:val="0"/>
          <w:sz w:val="24"/>
          <w:szCs w:val="24"/>
          <w:highlight w:val="none"/>
          <w:lang w:val="en-US" w:eastAsia="zh-CN"/>
        </w:rPr>
        <w:t>编制</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eastAsia="zh-CN"/>
        </w:rPr>
        <w:t>采购文件</w:t>
      </w:r>
      <w:r>
        <w:rPr>
          <w:rFonts w:hint="eastAsia" w:ascii="仿宋" w:hAnsi="仿宋" w:eastAsia="仿宋" w:cs="仿宋"/>
          <w:b w:val="0"/>
          <w:bCs w:val="0"/>
          <w:sz w:val="24"/>
          <w:szCs w:val="24"/>
          <w:highlight w:val="none"/>
        </w:rPr>
        <w:t>未提供标准格式的，由投标人自行编写</w:t>
      </w:r>
      <w:r>
        <w:rPr>
          <w:rFonts w:hint="eastAsia" w:ascii="仿宋" w:hAnsi="仿宋" w:eastAsia="仿宋" w:cs="仿宋"/>
          <w:b w:val="0"/>
          <w:bCs w:val="0"/>
          <w:sz w:val="24"/>
          <w:szCs w:val="24"/>
          <w:highlight w:val="none"/>
          <w:lang w:eastAsia="zh-CN"/>
        </w:rPr>
        <w:t>；</w:t>
      </w:r>
    </w:p>
    <w:p>
      <w:pPr>
        <w:pStyle w:val="23"/>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 3 \* GB2 \* MERGEFORMAT </w:instrText>
      </w:r>
      <w:r>
        <w:rPr>
          <w:rFonts w:hint="eastAsia" w:ascii="仿宋" w:hAnsi="仿宋" w:eastAsia="仿宋" w:cs="仿宋"/>
          <w:b w:val="0"/>
          <w:bCs w:val="0"/>
          <w:sz w:val="24"/>
          <w:szCs w:val="24"/>
          <w:highlight w:val="none"/>
        </w:rPr>
        <w:fldChar w:fldCharType="separate"/>
      </w:r>
      <w:r>
        <w:rPr>
          <w:rFonts w:hint="eastAsia" w:ascii="仿宋" w:hAnsi="仿宋" w:eastAsia="仿宋" w:cs="仿宋"/>
          <w:b w:val="0"/>
          <w:bCs w:val="0"/>
          <w:sz w:val="24"/>
          <w:szCs w:val="24"/>
          <w:highlight w:val="none"/>
        </w:rPr>
        <w:t>⑶</w:t>
      </w:r>
      <w:r>
        <w:rPr>
          <w:rFonts w:hint="eastAsia" w:ascii="仿宋" w:hAnsi="仿宋" w:eastAsia="仿宋" w:cs="仿宋"/>
          <w:b w:val="0"/>
          <w:bCs w:val="0"/>
          <w:sz w:val="24"/>
          <w:szCs w:val="24"/>
          <w:highlight w:val="none"/>
        </w:rPr>
        <w:fldChar w:fldCharType="end"/>
      </w:r>
      <w:r>
        <w:rPr>
          <w:rFonts w:hint="eastAsia" w:ascii="仿宋" w:hAnsi="仿宋" w:eastAsia="仿宋" w:cs="仿宋"/>
          <w:b w:val="0"/>
          <w:bCs w:val="0"/>
          <w:sz w:val="24"/>
          <w:szCs w:val="24"/>
          <w:highlight w:val="none"/>
        </w:rPr>
        <w:t>投标人应严格按照</w:t>
      </w:r>
      <w:r>
        <w:rPr>
          <w:rFonts w:hint="eastAsia" w:ascii="仿宋" w:hAnsi="仿宋" w:eastAsia="仿宋" w:cs="仿宋"/>
          <w:b w:val="0"/>
          <w:bCs w:val="0"/>
          <w:sz w:val="24"/>
          <w:szCs w:val="24"/>
          <w:highlight w:val="none"/>
          <w:lang w:val="en-US" w:eastAsia="zh-CN"/>
        </w:rPr>
        <w:t>采购文件</w:t>
      </w:r>
      <w:r>
        <w:rPr>
          <w:rFonts w:hint="eastAsia" w:ascii="仿宋" w:hAnsi="仿宋" w:eastAsia="仿宋" w:cs="仿宋"/>
          <w:b w:val="0"/>
          <w:bCs w:val="0"/>
          <w:sz w:val="24"/>
          <w:szCs w:val="24"/>
          <w:highlight w:val="none"/>
        </w:rPr>
        <w:t>规定的顺序编制目录，编排混乱或未按</w:t>
      </w:r>
      <w:r>
        <w:rPr>
          <w:rFonts w:hint="eastAsia" w:ascii="仿宋" w:hAnsi="仿宋" w:eastAsia="仿宋" w:cs="仿宋"/>
          <w:b w:val="0"/>
          <w:bCs w:val="0"/>
          <w:sz w:val="24"/>
          <w:szCs w:val="24"/>
          <w:highlight w:val="none"/>
          <w:lang w:eastAsia="zh-CN"/>
        </w:rPr>
        <w:t>采购文件</w:t>
      </w:r>
      <w:r>
        <w:rPr>
          <w:rFonts w:hint="eastAsia" w:ascii="仿宋" w:hAnsi="仿宋" w:eastAsia="仿宋" w:cs="仿宋"/>
          <w:b w:val="0"/>
          <w:bCs w:val="0"/>
          <w:sz w:val="24"/>
          <w:szCs w:val="24"/>
          <w:highlight w:val="none"/>
        </w:rPr>
        <w:t>所提供的统一格式编写与漏</w:t>
      </w:r>
      <w:r>
        <w:rPr>
          <w:rFonts w:hint="eastAsia" w:ascii="仿宋" w:hAnsi="仿宋" w:eastAsia="仿宋" w:cs="仿宋"/>
          <w:b w:val="0"/>
          <w:bCs w:val="0"/>
          <w:sz w:val="24"/>
          <w:szCs w:val="24"/>
          <w:highlight w:val="none"/>
          <w:lang w:val="en-US" w:eastAsia="zh-CN"/>
        </w:rPr>
        <w:t>项</w:t>
      </w:r>
      <w:r>
        <w:rPr>
          <w:rFonts w:hint="eastAsia" w:ascii="仿宋" w:hAnsi="仿宋" w:eastAsia="仿宋" w:cs="仿宋"/>
          <w:b w:val="0"/>
          <w:bCs w:val="0"/>
          <w:sz w:val="24"/>
          <w:szCs w:val="24"/>
          <w:highlight w:val="none"/>
        </w:rPr>
        <w:t>而导致投标文件被误读或查找不到有效文件由投标人承担风险</w:t>
      </w:r>
      <w:r>
        <w:rPr>
          <w:rFonts w:hint="eastAsia" w:ascii="仿宋" w:hAnsi="仿宋" w:eastAsia="仿宋" w:cs="仿宋"/>
          <w:b w:val="0"/>
          <w:bCs w:val="0"/>
          <w:sz w:val="24"/>
          <w:szCs w:val="24"/>
          <w:highlight w:val="none"/>
          <w:lang w:eastAsia="zh-CN"/>
        </w:rPr>
        <w:t>。</w:t>
      </w:r>
    </w:p>
    <w:p>
      <w:pPr>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 4 \* GB2 \* MERGEFORMAT </w:instrText>
      </w:r>
      <w:r>
        <w:rPr>
          <w:rFonts w:hint="eastAsia" w:ascii="仿宋" w:hAnsi="仿宋" w:eastAsia="仿宋" w:cs="仿宋"/>
          <w:b w:val="0"/>
          <w:bCs w:val="0"/>
          <w:sz w:val="24"/>
          <w:szCs w:val="24"/>
          <w:highlight w:val="none"/>
        </w:rPr>
        <w:fldChar w:fldCharType="separate"/>
      </w:r>
      <w:r>
        <w:rPr>
          <w:rFonts w:hint="eastAsia" w:ascii="仿宋" w:hAnsi="仿宋" w:eastAsia="仿宋" w:cs="仿宋"/>
          <w:sz w:val="24"/>
          <w:szCs w:val="24"/>
          <w:highlight w:val="none"/>
        </w:rPr>
        <w:t>⑷</w:t>
      </w:r>
      <w:r>
        <w:rPr>
          <w:rFonts w:hint="eastAsia" w:ascii="仿宋" w:hAnsi="仿宋" w:eastAsia="仿宋" w:cs="仿宋"/>
          <w:b w:val="0"/>
          <w:bCs w:val="0"/>
          <w:sz w:val="24"/>
          <w:szCs w:val="24"/>
          <w:highlight w:val="none"/>
        </w:rPr>
        <w:fldChar w:fldCharType="end"/>
      </w:r>
      <w:r>
        <w:rPr>
          <w:rFonts w:hint="eastAsia" w:ascii="仿宋" w:hAnsi="仿宋" w:eastAsia="仿宋" w:cs="仿宋"/>
          <w:b w:val="0"/>
          <w:bCs w:val="0"/>
          <w:sz w:val="24"/>
          <w:szCs w:val="24"/>
          <w:highlight w:val="none"/>
        </w:rPr>
        <w:t>▲授权委托书、投标函、必须按规定盖章或签字。</w:t>
      </w:r>
    </w:p>
    <w:p>
      <w:pPr>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以上内容未提供格式的，请投标人格式自拟。</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5.投标报价</w:t>
      </w:r>
    </w:p>
    <w:p>
      <w:pPr>
        <w:pStyle w:val="23"/>
        <w:spacing w:line="360" w:lineRule="auto"/>
        <w:ind w:firstLine="480" w:firstLineChars="200"/>
        <w:jc w:val="left"/>
        <w:rPr>
          <w:rFonts w:hint="eastAsia" w:ascii="仿宋" w:hAnsi="仿宋" w:eastAsia="仿宋" w:cs="仿宋"/>
          <w:bCs/>
          <w:sz w:val="24"/>
          <w:szCs w:val="24"/>
          <w:highlight w:val="none"/>
          <w:lang w:eastAsia="zh-CN"/>
        </w:rPr>
      </w:pPr>
      <w:r>
        <w:rPr>
          <w:rFonts w:hint="eastAsia" w:ascii="仿宋" w:hAnsi="仿宋" w:eastAsia="仿宋" w:cs="仿宋"/>
          <w:b w:val="0"/>
          <w:bCs w:val="0"/>
          <w:sz w:val="24"/>
          <w:szCs w:val="24"/>
          <w:highlight w:val="none"/>
          <w:lang w:val="en-US" w:eastAsia="zh-CN"/>
        </w:rPr>
        <w:fldChar w:fldCharType="begin"/>
      </w:r>
      <w:r>
        <w:rPr>
          <w:rFonts w:hint="eastAsia" w:ascii="仿宋" w:hAnsi="仿宋" w:eastAsia="仿宋" w:cs="仿宋"/>
          <w:b w:val="0"/>
          <w:bCs w:val="0"/>
          <w:sz w:val="24"/>
          <w:szCs w:val="24"/>
          <w:highlight w:val="none"/>
          <w:lang w:val="en-US" w:eastAsia="zh-CN"/>
        </w:rPr>
        <w:instrText xml:space="preserve"> = 1 \* GB2 \* MERGEFORMAT </w:instrText>
      </w:r>
      <w:r>
        <w:rPr>
          <w:rFonts w:hint="eastAsia" w:ascii="仿宋" w:hAnsi="仿宋" w:eastAsia="仿宋" w:cs="仿宋"/>
          <w:b w:val="0"/>
          <w:bCs w:val="0"/>
          <w:sz w:val="24"/>
          <w:szCs w:val="24"/>
          <w:highlight w:val="none"/>
          <w:lang w:val="en-US" w:eastAsia="zh-CN"/>
        </w:rPr>
        <w:fldChar w:fldCharType="separate"/>
      </w:r>
      <w:r>
        <w:rPr>
          <w:rFonts w:hint="eastAsia" w:ascii="仿宋" w:hAnsi="仿宋" w:eastAsia="仿宋" w:cs="仿宋"/>
          <w:b w:val="0"/>
          <w:bCs w:val="0"/>
          <w:sz w:val="24"/>
          <w:szCs w:val="24"/>
          <w:highlight w:val="none"/>
        </w:rPr>
        <w:t>⑴</w:t>
      </w:r>
      <w:r>
        <w:rPr>
          <w:rFonts w:hint="eastAsia" w:ascii="仿宋" w:hAnsi="仿宋" w:eastAsia="仿宋" w:cs="仿宋"/>
          <w:b w:val="0"/>
          <w:bCs w:val="0"/>
          <w:sz w:val="24"/>
          <w:szCs w:val="24"/>
          <w:highlight w:val="none"/>
          <w:lang w:val="en-US" w:eastAsia="zh-CN"/>
        </w:rPr>
        <w:fldChar w:fldCharType="end"/>
      </w:r>
      <w:r>
        <w:rPr>
          <w:rFonts w:hint="eastAsia" w:ascii="仿宋" w:hAnsi="仿宋" w:eastAsia="仿宋" w:cs="仿宋"/>
          <w:bCs/>
          <w:sz w:val="24"/>
          <w:szCs w:val="24"/>
          <w:highlight w:val="none"/>
        </w:rPr>
        <w:t>本项目最高限</w:t>
      </w:r>
      <w:r>
        <w:rPr>
          <w:rFonts w:hint="eastAsia" w:ascii="仿宋" w:hAnsi="仿宋" w:eastAsia="仿宋" w:cs="仿宋"/>
          <w:bCs/>
          <w:color w:val="auto"/>
          <w:sz w:val="24"/>
          <w:szCs w:val="24"/>
          <w:highlight w:val="none"/>
        </w:rPr>
        <w:t>价：</w:t>
      </w:r>
      <w:r>
        <w:rPr>
          <w:rFonts w:hint="eastAsia" w:ascii="仿宋" w:hAnsi="仿宋" w:eastAsia="仿宋" w:cs="仿宋"/>
          <w:bCs/>
          <w:color w:val="auto"/>
          <w:sz w:val="24"/>
          <w:szCs w:val="24"/>
          <w:highlight w:val="none"/>
          <w:lang w:val="en-US" w:eastAsia="zh-CN"/>
        </w:rPr>
        <w:t>97992.67</w:t>
      </w:r>
      <w:r>
        <w:rPr>
          <w:rFonts w:hint="eastAsia" w:ascii="仿宋" w:hAnsi="仿宋" w:eastAsia="仿宋" w:cs="仿宋"/>
          <w:bCs/>
          <w:color w:val="auto"/>
          <w:sz w:val="24"/>
          <w:szCs w:val="24"/>
          <w:highlight w:val="none"/>
        </w:rPr>
        <w:t>元。投标人报价超过最</w:t>
      </w:r>
      <w:r>
        <w:rPr>
          <w:rFonts w:hint="eastAsia" w:ascii="仿宋" w:hAnsi="仿宋" w:eastAsia="仿宋" w:cs="仿宋"/>
          <w:bCs/>
          <w:sz w:val="24"/>
          <w:szCs w:val="24"/>
          <w:highlight w:val="none"/>
        </w:rPr>
        <w:t>高限价的作无效</w:t>
      </w:r>
      <w:r>
        <w:rPr>
          <w:rFonts w:hint="eastAsia" w:ascii="仿宋" w:hAnsi="仿宋" w:eastAsia="仿宋" w:cs="仿宋"/>
          <w:bCs/>
          <w:sz w:val="24"/>
          <w:szCs w:val="24"/>
          <w:highlight w:val="none"/>
          <w:lang w:val="en-US" w:eastAsia="zh-CN"/>
        </w:rPr>
        <w:t>标</w:t>
      </w:r>
      <w:r>
        <w:rPr>
          <w:rFonts w:hint="eastAsia" w:ascii="仿宋" w:hAnsi="仿宋" w:eastAsia="仿宋" w:cs="仿宋"/>
          <w:bCs/>
          <w:sz w:val="24"/>
          <w:szCs w:val="24"/>
          <w:highlight w:val="none"/>
        </w:rPr>
        <w:t>处理</w:t>
      </w:r>
      <w:r>
        <w:rPr>
          <w:rFonts w:hint="eastAsia" w:ascii="仿宋" w:hAnsi="仿宋" w:eastAsia="仿宋" w:cs="仿宋"/>
          <w:bCs/>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Cs/>
          <w:sz w:val="24"/>
          <w:szCs w:val="24"/>
          <w:highlight w:val="none"/>
        </w:rPr>
      </w:pP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 2 \* GB2 \* MERGEFORMAT </w:instrText>
      </w:r>
      <w:r>
        <w:rPr>
          <w:rFonts w:hint="eastAsia" w:ascii="仿宋" w:hAnsi="仿宋" w:eastAsia="仿宋" w:cs="仿宋"/>
          <w:b w:val="0"/>
          <w:bCs w:val="0"/>
          <w:sz w:val="24"/>
          <w:szCs w:val="24"/>
          <w:highlight w:val="none"/>
        </w:rPr>
        <w:fldChar w:fldCharType="separate"/>
      </w:r>
      <w:r>
        <w:rPr>
          <w:rFonts w:hint="eastAsia" w:ascii="仿宋" w:hAnsi="仿宋" w:eastAsia="仿宋" w:cs="仿宋"/>
          <w:b w:val="0"/>
          <w:bCs w:val="0"/>
          <w:sz w:val="24"/>
          <w:szCs w:val="24"/>
          <w:highlight w:val="none"/>
        </w:rPr>
        <w:t>⑵</w:t>
      </w:r>
      <w:r>
        <w:rPr>
          <w:rFonts w:hint="eastAsia" w:ascii="仿宋" w:hAnsi="仿宋" w:eastAsia="仿宋" w:cs="仿宋"/>
          <w:b w:val="0"/>
          <w:bCs w:val="0"/>
          <w:sz w:val="24"/>
          <w:szCs w:val="24"/>
          <w:highlight w:val="none"/>
        </w:rPr>
        <w:fldChar w:fldCharType="end"/>
      </w:r>
      <w:r>
        <w:rPr>
          <w:rFonts w:hint="eastAsia" w:ascii="仿宋" w:hAnsi="仿宋" w:eastAsia="仿宋" w:cs="仿宋"/>
          <w:bCs/>
          <w:sz w:val="24"/>
          <w:szCs w:val="24"/>
          <w:highlight w:val="none"/>
        </w:rPr>
        <w:t>本项目投标报价</w:t>
      </w:r>
      <w:r>
        <w:rPr>
          <w:rFonts w:hint="eastAsia" w:ascii="仿宋" w:hAnsi="仿宋" w:eastAsia="仿宋" w:cs="仿宋"/>
          <w:sz w:val="24"/>
          <w:szCs w:val="24"/>
          <w:highlight w:val="none"/>
        </w:rPr>
        <w:t>中</w:t>
      </w:r>
      <w:r>
        <w:rPr>
          <w:rFonts w:hint="eastAsia" w:ascii="仿宋" w:hAnsi="仿宋" w:eastAsia="仿宋" w:cs="仿宋"/>
          <w:b w:val="0"/>
          <w:bCs w:val="0"/>
          <w:sz w:val="24"/>
          <w:szCs w:val="24"/>
          <w:highlight w:val="none"/>
          <w:lang w:val="zh-CN"/>
        </w:rPr>
        <w:t>包括货物价格、标准附件、备品备件、专用工具、人员工资、运输、装卸、招标代理费、安装调试、技术服务及验收合格、售后服务、质保期内的维修更换服务等所需的各种费用及必要的保险费用和</w:t>
      </w:r>
      <w:r>
        <w:rPr>
          <w:rFonts w:hint="eastAsia" w:ascii="仿宋" w:hAnsi="仿宋" w:eastAsia="仿宋" w:cs="仿宋"/>
          <w:b w:val="0"/>
          <w:bCs w:val="0"/>
          <w:color w:val="auto"/>
          <w:sz w:val="24"/>
          <w:szCs w:val="24"/>
          <w:highlight w:val="none"/>
          <w:lang w:val="zh-CN"/>
        </w:rPr>
        <w:t>各项</w:t>
      </w:r>
      <w:r>
        <w:rPr>
          <w:rFonts w:hint="eastAsia" w:ascii="仿宋" w:hAnsi="仿宋" w:eastAsia="仿宋" w:cs="仿宋"/>
          <w:b w:val="0"/>
          <w:bCs w:val="0"/>
          <w:sz w:val="24"/>
          <w:szCs w:val="24"/>
          <w:highlight w:val="none"/>
          <w:lang w:val="zh-CN"/>
        </w:rPr>
        <w:t>税金等一切直接、间接成本和费用以及利润的全部。</w:t>
      </w:r>
      <w:r>
        <w:rPr>
          <w:rFonts w:hint="eastAsia" w:ascii="仿宋" w:hAnsi="仿宋" w:eastAsia="仿宋" w:cs="仿宋"/>
          <w:bCs/>
          <w:sz w:val="24"/>
          <w:szCs w:val="24"/>
          <w:highlight w:val="none"/>
        </w:rPr>
        <w:t>投标人的投标报价为投标人所能承受的一次性最低报价。在合同服务期间内不得违反国家相关政策规定。</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未列明，而投标人认为必需的费用也需列入报价。</w:t>
      </w:r>
    </w:p>
    <w:p>
      <w:pPr>
        <w:pStyle w:val="23"/>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中标人应列入而未列入其中的费用，均视为已包含在内，风险由中标人承担。中标人不得以遗漏或疏忽为由向采购人主张增加费用或开支。</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 3 \* GB2 \* MERGEFORMAT </w:instrText>
      </w:r>
      <w:r>
        <w:rPr>
          <w:rFonts w:hint="eastAsia" w:ascii="仿宋" w:hAnsi="仿宋" w:eastAsia="仿宋" w:cs="仿宋"/>
          <w:b w:val="0"/>
          <w:bCs w:val="0"/>
          <w:sz w:val="24"/>
          <w:szCs w:val="24"/>
          <w:highlight w:val="none"/>
        </w:rPr>
        <w:fldChar w:fldCharType="separate"/>
      </w:r>
      <w:r>
        <w:rPr>
          <w:rFonts w:hint="eastAsia" w:ascii="仿宋" w:hAnsi="仿宋" w:eastAsia="仿宋" w:cs="仿宋"/>
          <w:b w:val="0"/>
          <w:bCs w:val="0"/>
          <w:sz w:val="24"/>
          <w:szCs w:val="24"/>
          <w:highlight w:val="none"/>
        </w:rPr>
        <w:t>⑶</w:t>
      </w:r>
      <w:r>
        <w:rPr>
          <w:rFonts w:hint="eastAsia" w:ascii="仿宋" w:hAnsi="仿宋" w:eastAsia="仿宋" w:cs="仿宋"/>
          <w:b w:val="0"/>
          <w:bCs w:val="0"/>
          <w:sz w:val="24"/>
          <w:szCs w:val="24"/>
          <w:highlight w:val="none"/>
        </w:rPr>
        <w:fldChar w:fldCharType="end"/>
      </w:r>
      <w:r>
        <w:rPr>
          <w:rFonts w:hint="eastAsia" w:ascii="仿宋" w:hAnsi="仿宋" w:eastAsia="仿宋" w:cs="仿宋"/>
          <w:bCs/>
          <w:sz w:val="24"/>
          <w:szCs w:val="24"/>
          <w:highlight w:val="none"/>
        </w:rPr>
        <w:t>投标人必须按第六章投标文件格式附件中的</w:t>
      </w:r>
      <w:r>
        <w:rPr>
          <w:rFonts w:hint="eastAsia" w:ascii="仿宋" w:hAnsi="仿宋" w:eastAsia="仿宋" w:cs="仿宋"/>
          <w:bCs/>
          <w:sz w:val="24"/>
          <w:szCs w:val="24"/>
          <w:highlight w:val="none"/>
          <w:lang w:eastAsia="zh-CN"/>
        </w:rPr>
        <w:t>开标一览表（</w:t>
      </w:r>
      <w:r>
        <w:rPr>
          <w:rFonts w:hint="eastAsia" w:ascii="仿宋" w:hAnsi="仿宋" w:eastAsia="仿宋" w:cs="仿宋"/>
          <w:bCs/>
          <w:sz w:val="24"/>
          <w:szCs w:val="24"/>
          <w:highlight w:val="none"/>
          <w:lang w:val="en-US" w:eastAsia="zh-CN"/>
        </w:rPr>
        <w:t>报价明细表</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内容填写单价、合价和总价，并由法定代表人或授权代表签字或盖章。</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 4 \* GB2 \* MERGEFORMAT </w:instrText>
      </w:r>
      <w:r>
        <w:rPr>
          <w:rFonts w:hint="eastAsia" w:ascii="仿宋" w:hAnsi="仿宋" w:eastAsia="仿宋" w:cs="仿宋"/>
          <w:b w:val="0"/>
          <w:bCs w:val="0"/>
          <w:sz w:val="24"/>
          <w:szCs w:val="24"/>
          <w:highlight w:val="none"/>
        </w:rPr>
        <w:fldChar w:fldCharType="separate"/>
      </w:r>
      <w:r>
        <w:rPr>
          <w:rFonts w:hint="eastAsia" w:ascii="仿宋" w:hAnsi="仿宋" w:eastAsia="仿宋" w:cs="仿宋"/>
          <w:sz w:val="24"/>
          <w:szCs w:val="24"/>
          <w:highlight w:val="none"/>
        </w:rPr>
        <w:t>⑷</w:t>
      </w:r>
      <w:r>
        <w:rPr>
          <w:rFonts w:hint="eastAsia" w:ascii="仿宋" w:hAnsi="仿宋" w:eastAsia="仿宋" w:cs="仿宋"/>
          <w:b w:val="0"/>
          <w:bCs w:val="0"/>
          <w:sz w:val="24"/>
          <w:szCs w:val="24"/>
          <w:highlight w:val="none"/>
        </w:rPr>
        <w:fldChar w:fldCharType="end"/>
      </w:r>
      <w:r>
        <w:rPr>
          <w:rFonts w:hint="eastAsia" w:ascii="仿宋" w:hAnsi="仿宋" w:eastAsia="仿宋" w:cs="仿宋"/>
          <w:bCs/>
          <w:sz w:val="24"/>
          <w:szCs w:val="24"/>
          <w:highlight w:val="none"/>
          <w:lang w:eastAsia="zh-CN"/>
        </w:rPr>
        <w:t>开标一览表</w:t>
      </w:r>
      <w:r>
        <w:rPr>
          <w:rFonts w:hint="eastAsia" w:ascii="仿宋" w:hAnsi="仿宋" w:eastAsia="仿宋" w:cs="仿宋"/>
          <w:bCs/>
          <w:sz w:val="24"/>
          <w:szCs w:val="24"/>
          <w:highlight w:val="none"/>
          <w:lang w:val="en-US" w:eastAsia="zh-CN"/>
        </w:rPr>
        <w:t>及报价明细表</w:t>
      </w:r>
      <w:r>
        <w:rPr>
          <w:rFonts w:hint="eastAsia" w:ascii="仿宋" w:hAnsi="仿宋" w:eastAsia="仿宋" w:cs="仿宋"/>
          <w:bCs/>
          <w:sz w:val="24"/>
          <w:szCs w:val="24"/>
          <w:highlight w:val="none"/>
        </w:rPr>
        <w:t>上的价格须以人民币报价，以其它货币报价的投标将不予接受。</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val="0"/>
          <w:sz w:val="24"/>
          <w:szCs w:val="24"/>
          <w:highlight w:val="none"/>
        </w:rPr>
        <w:fldChar w:fldCharType="begin"/>
      </w:r>
      <w:r>
        <w:rPr>
          <w:rFonts w:hint="eastAsia" w:ascii="仿宋" w:hAnsi="仿宋" w:eastAsia="仿宋" w:cs="仿宋"/>
          <w:bCs w:val="0"/>
          <w:sz w:val="24"/>
          <w:szCs w:val="24"/>
          <w:highlight w:val="none"/>
        </w:rPr>
        <w:instrText xml:space="preserve"> = 5 \* GB2 \* MERGEFORMAT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⑸</w:t>
      </w:r>
      <w:r>
        <w:rPr>
          <w:rFonts w:hint="eastAsia" w:ascii="仿宋" w:hAnsi="仿宋" w:eastAsia="仿宋" w:cs="仿宋"/>
          <w:bCs w:val="0"/>
          <w:sz w:val="24"/>
          <w:szCs w:val="24"/>
          <w:highlight w:val="none"/>
        </w:rPr>
        <w:fldChar w:fldCharType="end"/>
      </w:r>
      <w:r>
        <w:rPr>
          <w:rFonts w:hint="eastAsia" w:ascii="仿宋" w:hAnsi="仿宋" w:eastAsia="仿宋" w:cs="仿宋"/>
          <w:bCs/>
          <w:sz w:val="24"/>
          <w:szCs w:val="24"/>
          <w:highlight w:val="none"/>
        </w:rPr>
        <w:t>采购人不接受任何选择报价，只允许一个报价。</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val="0"/>
          <w:sz w:val="24"/>
          <w:szCs w:val="24"/>
          <w:highlight w:val="none"/>
        </w:rPr>
        <w:fldChar w:fldCharType="begin"/>
      </w:r>
      <w:r>
        <w:rPr>
          <w:rFonts w:hint="eastAsia" w:ascii="仿宋" w:hAnsi="仿宋" w:eastAsia="仿宋" w:cs="仿宋"/>
          <w:bCs w:val="0"/>
          <w:sz w:val="24"/>
          <w:szCs w:val="24"/>
          <w:highlight w:val="none"/>
        </w:rPr>
        <w:instrText xml:space="preserve"> = 6 \* GB2 \* MERGEFORMAT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⑹</w:t>
      </w:r>
      <w:r>
        <w:rPr>
          <w:rFonts w:hint="eastAsia" w:ascii="仿宋" w:hAnsi="仿宋" w:eastAsia="仿宋" w:cs="仿宋"/>
          <w:bCs w:val="0"/>
          <w:sz w:val="24"/>
          <w:szCs w:val="24"/>
          <w:highlight w:val="none"/>
        </w:rPr>
        <w:fldChar w:fldCharType="end"/>
      </w:r>
      <w:r>
        <w:rPr>
          <w:rFonts w:hint="eastAsia" w:ascii="仿宋" w:hAnsi="仿宋" w:eastAsia="仿宋" w:cs="仿宋"/>
          <w:bCs/>
          <w:sz w:val="24"/>
          <w:szCs w:val="24"/>
          <w:highlight w:val="none"/>
        </w:rPr>
        <w:t>投标人应根据要求报价，报价单中不得漏填项目。</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6.投标文件的份数和签署</w:t>
      </w:r>
    </w:p>
    <w:p>
      <w:pPr>
        <w:pStyle w:val="23"/>
        <w:spacing w:line="360" w:lineRule="auto"/>
        <w:ind w:firstLine="480" w:firstLineChars="200"/>
        <w:jc w:val="left"/>
        <w:rPr>
          <w:rFonts w:hint="eastAsia" w:ascii="仿宋" w:hAnsi="仿宋" w:eastAsia="仿宋" w:cs="仿宋"/>
          <w:bCs/>
          <w:sz w:val="24"/>
          <w:szCs w:val="24"/>
          <w:highlight w:val="none"/>
          <w:lang w:eastAsia="zh-CN"/>
        </w:rPr>
      </w:pPr>
      <w:r>
        <w:rPr>
          <w:rFonts w:hint="eastAsia" w:ascii="仿宋" w:hAnsi="仿宋" w:eastAsia="仿宋" w:cs="仿宋"/>
          <w:b w:val="0"/>
          <w:bCs w:val="0"/>
          <w:sz w:val="24"/>
          <w:szCs w:val="24"/>
          <w:highlight w:val="none"/>
          <w:lang w:val="en-US" w:eastAsia="zh-CN"/>
        </w:rPr>
        <w:fldChar w:fldCharType="begin"/>
      </w:r>
      <w:r>
        <w:rPr>
          <w:rFonts w:hint="eastAsia" w:ascii="仿宋" w:hAnsi="仿宋" w:eastAsia="仿宋" w:cs="仿宋"/>
          <w:b w:val="0"/>
          <w:bCs w:val="0"/>
          <w:sz w:val="24"/>
          <w:szCs w:val="24"/>
          <w:highlight w:val="none"/>
          <w:lang w:val="en-US" w:eastAsia="zh-CN"/>
        </w:rPr>
        <w:instrText xml:space="preserve"> = 1 \* GB2 \* MERGEFORMAT </w:instrText>
      </w:r>
      <w:r>
        <w:rPr>
          <w:rFonts w:hint="eastAsia" w:ascii="仿宋" w:hAnsi="仿宋" w:eastAsia="仿宋" w:cs="仿宋"/>
          <w:b w:val="0"/>
          <w:bCs w:val="0"/>
          <w:sz w:val="24"/>
          <w:szCs w:val="24"/>
          <w:highlight w:val="none"/>
          <w:lang w:val="en-US" w:eastAsia="zh-CN"/>
        </w:rPr>
        <w:fldChar w:fldCharType="separate"/>
      </w:r>
      <w:r>
        <w:rPr>
          <w:rFonts w:hint="eastAsia" w:ascii="仿宋" w:hAnsi="仿宋" w:eastAsia="仿宋" w:cs="仿宋"/>
          <w:b w:val="0"/>
          <w:bCs w:val="0"/>
          <w:sz w:val="24"/>
          <w:szCs w:val="24"/>
          <w:highlight w:val="none"/>
        </w:rPr>
        <w:t>⑴</w:t>
      </w:r>
      <w:r>
        <w:rPr>
          <w:rFonts w:hint="eastAsia" w:ascii="仿宋" w:hAnsi="仿宋" w:eastAsia="仿宋" w:cs="仿宋"/>
          <w:b w:val="0"/>
          <w:bCs w:val="0"/>
          <w:sz w:val="24"/>
          <w:szCs w:val="24"/>
          <w:highlight w:val="none"/>
          <w:lang w:val="en-US" w:eastAsia="zh-CN"/>
        </w:rPr>
        <w:fldChar w:fldCharType="end"/>
      </w:r>
      <w:r>
        <w:rPr>
          <w:rFonts w:hint="eastAsia" w:ascii="仿宋" w:hAnsi="仿宋" w:eastAsia="仿宋" w:cs="仿宋"/>
          <w:bCs/>
          <w:sz w:val="24"/>
          <w:szCs w:val="24"/>
          <w:highlight w:val="none"/>
        </w:rPr>
        <w:t>投标人应按本</w:t>
      </w:r>
      <w:r>
        <w:rPr>
          <w:rFonts w:hint="eastAsia" w:ascii="仿宋" w:hAnsi="仿宋" w:eastAsia="仿宋" w:cs="仿宋"/>
          <w:bCs/>
          <w:sz w:val="24"/>
          <w:szCs w:val="24"/>
          <w:highlight w:val="none"/>
          <w:lang w:val="en-US" w:eastAsia="zh-CN"/>
        </w:rPr>
        <w:t>采购</w:t>
      </w:r>
      <w:r>
        <w:rPr>
          <w:rFonts w:hint="eastAsia" w:ascii="仿宋" w:hAnsi="仿宋" w:eastAsia="仿宋" w:cs="仿宋"/>
          <w:bCs/>
          <w:sz w:val="24"/>
          <w:szCs w:val="24"/>
          <w:highlight w:val="none"/>
        </w:rPr>
        <w:t>文件规定份数上传投标文件</w:t>
      </w:r>
      <w:r>
        <w:rPr>
          <w:rFonts w:hint="eastAsia" w:ascii="仿宋" w:hAnsi="仿宋" w:eastAsia="仿宋" w:cs="仿宋"/>
          <w:bCs/>
          <w:sz w:val="24"/>
          <w:szCs w:val="24"/>
          <w:highlight w:val="none"/>
          <w:lang w:eastAsia="zh-CN"/>
        </w:rPr>
        <w:t>；</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 2 \* GB2 \* MERGEFORMAT </w:instrText>
      </w:r>
      <w:r>
        <w:rPr>
          <w:rFonts w:hint="eastAsia" w:ascii="仿宋" w:hAnsi="仿宋" w:eastAsia="仿宋" w:cs="仿宋"/>
          <w:b w:val="0"/>
          <w:bCs w:val="0"/>
          <w:sz w:val="24"/>
          <w:szCs w:val="24"/>
          <w:highlight w:val="none"/>
        </w:rPr>
        <w:fldChar w:fldCharType="separate"/>
      </w:r>
      <w:r>
        <w:rPr>
          <w:rFonts w:hint="eastAsia" w:ascii="仿宋" w:hAnsi="仿宋" w:eastAsia="仿宋" w:cs="仿宋"/>
          <w:b w:val="0"/>
          <w:bCs w:val="0"/>
          <w:sz w:val="24"/>
          <w:szCs w:val="24"/>
          <w:highlight w:val="none"/>
        </w:rPr>
        <w:t>⑵</w:t>
      </w:r>
      <w:r>
        <w:rPr>
          <w:rFonts w:hint="eastAsia" w:ascii="仿宋" w:hAnsi="仿宋" w:eastAsia="仿宋" w:cs="仿宋"/>
          <w:b w:val="0"/>
          <w:bCs w:val="0"/>
          <w:sz w:val="24"/>
          <w:szCs w:val="24"/>
          <w:highlight w:val="none"/>
        </w:rPr>
        <w:fldChar w:fldCharType="end"/>
      </w:r>
      <w:r>
        <w:rPr>
          <w:rFonts w:hint="eastAsia" w:ascii="仿宋" w:hAnsi="仿宋" w:eastAsia="仿宋" w:cs="仿宋"/>
          <w:bCs/>
          <w:sz w:val="24"/>
          <w:szCs w:val="24"/>
          <w:highlight w:val="none"/>
        </w:rPr>
        <w:t>投标人应根据</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要求，在投标文件适当的位置填写投标人全称并加盖印章，同时签署投标人代表的全名。投标文件必须由投标人代表</w:t>
      </w:r>
      <w:r>
        <w:rPr>
          <w:rFonts w:hint="eastAsia" w:ascii="仿宋" w:hAnsi="仿宋" w:eastAsia="仿宋" w:cs="仿宋"/>
          <w:bCs/>
          <w:sz w:val="24"/>
          <w:szCs w:val="24"/>
          <w:highlight w:val="none"/>
          <w:lang w:val="en-US" w:eastAsia="zh-CN"/>
        </w:rPr>
        <w:t>签字或盖章</w:t>
      </w:r>
      <w:r>
        <w:rPr>
          <w:rFonts w:hint="eastAsia" w:ascii="仿宋" w:hAnsi="仿宋" w:eastAsia="仿宋" w:cs="仿宋"/>
          <w:bCs/>
          <w:sz w:val="24"/>
          <w:szCs w:val="24"/>
          <w:highlight w:val="none"/>
        </w:rPr>
        <w:t>。</w:t>
      </w:r>
    </w:p>
    <w:p>
      <w:pPr>
        <w:pStyle w:val="23"/>
        <w:spacing w:line="360" w:lineRule="auto"/>
        <w:ind w:firstLine="480" w:firstLineChars="200"/>
        <w:jc w:val="left"/>
        <w:rPr>
          <w:rFonts w:hint="eastAsia" w:ascii="仿宋" w:hAnsi="仿宋" w:eastAsia="仿宋" w:cs="仿宋"/>
          <w:bCs/>
          <w:sz w:val="24"/>
          <w:szCs w:val="24"/>
          <w:highlight w:val="none"/>
          <w:lang w:eastAsia="zh-CN"/>
        </w:rPr>
      </w:pP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 3 \* GB2 \* MERGEFORMAT </w:instrText>
      </w:r>
      <w:r>
        <w:rPr>
          <w:rFonts w:hint="eastAsia" w:ascii="仿宋" w:hAnsi="仿宋" w:eastAsia="仿宋" w:cs="仿宋"/>
          <w:b w:val="0"/>
          <w:bCs w:val="0"/>
          <w:sz w:val="24"/>
          <w:szCs w:val="24"/>
          <w:highlight w:val="none"/>
        </w:rPr>
        <w:fldChar w:fldCharType="separate"/>
      </w:r>
      <w:r>
        <w:rPr>
          <w:rFonts w:hint="eastAsia" w:ascii="仿宋" w:hAnsi="仿宋" w:eastAsia="仿宋" w:cs="仿宋"/>
          <w:b w:val="0"/>
          <w:bCs w:val="0"/>
          <w:sz w:val="24"/>
          <w:szCs w:val="24"/>
          <w:highlight w:val="none"/>
        </w:rPr>
        <w:t>⑶</w:t>
      </w:r>
      <w:r>
        <w:rPr>
          <w:rFonts w:hint="eastAsia" w:ascii="仿宋" w:hAnsi="仿宋" w:eastAsia="仿宋" w:cs="仿宋"/>
          <w:b w:val="0"/>
          <w:bCs w:val="0"/>
          <w:sz w:val="24"/>
          <w:szCs w:val="24"/>
          <w:highlight w:val="none"/>
        </w:rPr>
        <w:fldChar w:fldCharType="end"/>
      </w:r>
      <w:r>
        <w:rPr>
          <w:rFonts w:hint="eastAsia" w:ascii="仿宋" w:hAnsi="仿宋" w:eastAsia="仿宋" w:cs="仿宋"/>
          <w:bCs/>
          <w:sz w:val="24"/>
          <w:szCs w:val="24"/>
          <w:highlight w:val="none"/>
        </w:rPr>
        <w:t>投标文件不得涂改和增删，如有修改错漏处，必须由同一投标人加盖公章</w:t>
      </w:r>
      <w:r>
        <w:rPr>
          <w:rFonts w:hint="eastAsia" w:ascii="仿宋" w:hAnsi="仿宋" w:eastAsia="仿宋" w:cs="仿宋"/>
          <w:bCs/>
          <w:sz w:val="24"/>
          <w:szCs w:val="24"/>
          <w:highlight w:val="none"/>
          <w:lang w:eastAsia="zh-CN"/>
        </w:rPr>
        <w:t>。</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 4 \* GB2 \* MERGEFORMAT </w:instrText>
      </w:r>
      <w:r>
        <w:rPr>
          <w:rFonts w:hint="eastAsia" w:ascii="仿宋" w:hAnsi="仿宋" w:eastAsia="仿宋" w:cs="仿宋"/>
          <w:b w:val="0"/>
          <w:bCs w:val="0"/>
          <w:sz w:val="24"/>
          <w:szCs w:val="24"/>
          <w:highlight w:val="none"/>
        </w:rPr>
        <w:fldChar w:fldCharType="separate"/>
      </w:r>
      <w:r>
        <w:rPr>
          <w:rFonts w:hint="eastAsia" w:ascii="仿宋" w:hAnsi="仿宋" w:eastAsia="仿宋" w:cs="仿宋"/>
          <w:sz w:val="24"/>
          <w:szCs w:val="24"/>
          <w:highlight w:val="none"/>
        </w:rPr>
        <w:t>⑷</w:t>
      </w:r>
      <w:r>
        <w:rPr>
          <w:rFonts w:hint="eastAsia" w:ascii="仿宋" w:hAnsi="仿宋" w:eastAsia="仿宋" w:cs="仿宋"/>
          <w:b w:val="0"/>
          <w:bCs w:val="0"/>
          <w:sz w:val="24"/>
          <w:szCs w:val="24"/>
          <w:highlight w:val="none"/>
        </w:rPr>
        <w:fldChar w:fldCharType="end"/>
      </w:r>
      <w:r>
        <w:rPr>
          <w:rFonts w:hint="eastAsia" w:ascii="仿宋" w:hAnsi="仿宋" w:eastAsia="仿宋" w:cs="仿宋"/>
          <w:bCs/>
          <w:sz w:val="24"/>
          <w:szCs w:val="24"/>
          <w:highlight w:val="none"/>
        </w:rPr>
        <w:t>投标文件因字迹潦草或表达不清所引起的后果由投标人负责。</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val="0"/>
          <w:sz w:val="24"/>
          <w:szCs w:val="24"/>
          <w:highlight w:val="none"/>
        </w:rPr>
        <w:fldChar w:fldCharType="begin"/>
      </w:r>
      <w:r>
        <w:rPr>
          <w:rFonts w:hint="eastAsia" w:ascii="仿宋" w:hAnsi="仿宋" w:eastAsia="仿宋" w:cs="仿宋"/>
          <w:bCs w:val="0"/>
          <w:sz w:val="24"/>
          <w:szCs w:val="24"/>
          <w:highlight w:val="none"/>
        </w:rPr>
        <w:instrText xml:space="preserve"> = 5 \* GB2 \* MERGEFORMAT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⑸</w:t>
      </w:r>
      <w:r>
        <w:rPr>
          <w:rFonts w:hint="eastAsia" w:ascii="仿宋" w:hAnsi="仿宋" w:eastAsia="仿宋" w:cs="仿宋"/>
          <w:bCs w:val="0"/>
          <w:sz w:val="24"/>
          <w:szCs w:val="24"/>
          <w:highlight w:val="none"/>
        </w:rPr>
        <w:fldChar w:fldCharType="end"/>
      </w:r>
      <w:r>
        <w:rPr>
          <w:rFonts w:hint="eastAsia" w:ascii="仿宋" w:hAnsi="仿宋" w:eastAsia="仿宋" w:cs="仿宋"/>
          <w:bCs/>
          <w:sz w:val="24"/>
          <w:szCs w:val="24"/>
          <w:highlight w:val="none"/>
        </w:rPr>
        <w:t>投标文件的签章：投标文件应由投标人法定代表人或其授权代表签字（或盖章），并加盖投标人电子签章。</w:t>
      </w:r>
      <w:r>
        <w:rPr>
          <w:rFonts w:hint="eastAsia" w:ascii="仿宋" w:hAnsi="仿宋" w:eastAsia="仿宋" w:cs="仿宋"/>
          <w:bCs/>
          <w:sz w:val="24"/>
          <w:szCs w:val="24"/>
          <w:highlight w:val="none"/>
          <w:lang w:val="en-US" w:eastAsia="zh-CN"/>
        </w:rPr>
        <w:t>投标人</w:t>
      </w:r>
      <w:r>
        <w:rPr>
          <w:rFonts w:hint="eastAsia" w:ascii="仿宋" w:hAnsi="仿宋" w:eastAsia="仿宋" w:cs="仿宋"/>
          <w:bCs/>
          <w:sz w:val="24"/>
          <w:szCs w:val="24"/>
          <w:highlight w:val="none"/>
        </w:rPr>
        <w:t>均应使用CA数字证书加盖</w:t>
      </w:r>
      <w:r>
        <w:rPr>
          <w:rFonts w:hint="eastAsia" w:ascii="仿宋" w:hAnsi="仿宋" w:eastAsia="仿宋" w:cs="仿宋"/>
          <w:bCs/>
          <w:sz w:val="24"/>
          <w:szCs w:val="24"/>
          <w:highlight w:val="none"/>
          <w:lang w:val="en-US" w:eastAsia="zh-CN"/>
        </w:rPr>
        <w:t>投标人</w:t>
      </w:r>
      <w:r>
        <w:rPr>
          <w:rFonts w:hint="eastAsia" w:ascii="仿宋" w:hAnsi="仿宋" w:eastAsia="仿宋" w:cs="仿宋"/>
          <w:bCs/>
          <w:sz w:val="24"/>
          <w:szCs w:val="24"/>
          <w:highlight w:val="none"/>
        </w:rPr>
        <w:t>的单位电子印章、法定代表人个人电子印章，上传至衢州市阳光交易服务平台，作为</w:t>
      </w:r>
      <w:r>
        <w:rPr>
          <w:rFonts w:hint="eastAsia" w:ascii="仿宋" w:hAnsi="仿宋" w:eastAsia="仿宋" w:cs="仿宋"/>
          <w:bCs/>
          <w:sz w:val="24"/>
          <w:szCs w:val="24"/>
          <w:highlight w:val="none"/>
          <w:lang w:val="en-US" w:eastAsia="zh-CN"/>
        </w:rPr>
        <w:t>投标</w:t>
      </w:r>
      <w:r>
        <w:rPr>
          <w:rFonts w:hint="eastAsia" w:ascii="仿宋" w:hAnsi="仿宋" w:eastAsia="仿宋" w:cs="仿宋"/>
          <w:bCs/>
          <w:sz w:val="24"/>
          <w:szCs w:val="24"/>
          <w:highlight w:val="none"/>
        </w:rPr>
        <w:t>文件正本，其余详见</w:t>
      </w:r>
      <w:r>
        <w:rPr>
          <w:rFonts w:hint="eastAsia" w:ascii="仿宋" w:hAnsi="仿宋" w:eastAsia="仿宋" w:cs="仿宋"/>
          <w:bCs/>
          <w:sz w:val="24"/>
          <w:szCs w:val="24"/>
          <w:highlight w:val="none"/>
          <w:lang w:val="en-US" w:eastAsia="zh-CN"/>
        </w:rPr>
        <w:t>投标人</w:t>
      </w:r>
      <w:r>
        <w:rPr>
          <w:rFonts w:hint="eastAsia" w:ascii="仿宋" w:hAnsi="仿宋" w:eastAsia="仿宋" w:cs="仿宋"/>
          <w:bCs/>
          <w:sz w:val="24"/>
          <w:szCs w:val="24"/>
          <w:highlight w:val="none"/>
        </w:rPr>
        <w:t>须知前附表。</w:t>
      </w:r>
    </w:p>
    <w:p>
      <w:pPr>
        <w:pStyle w:val="23"/>
        <w:tabs>
          <w:tab w:val="left" w:pos="0"/>
        </w:tabs>
        <w:spacing w:line="360" w:lineRule="auto"/>
        <w:ind w:firstLine="482" w:firstLineChars="200"/>
        <w:jc w:val="left"/>
        <w:outlineLvl w:val="1"/>
        <w:rPr>
          <w:rFonts w:hint="eastAsia" w:ascii="仿宋" w:hAnsi="仿宋" w:eastAsia="仿宋" w:cs="仿宋"/>
          <w:b/>
          <w:sz w:val="24"/>
          <w:szCs w:val="24"/>
          <w:highlight w:val="none"/>
        </w:rPr>
      </w:pPr>
      <w:bookmarkStart w:id="65" w:name="_Toc24664"/>
      <w:bookmarkStart w:id="66" w:name="_Toc8305"/>
      <w:bookmarkStart w:id="67" w:name="_Toc30648"/>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 4 \* GB4 \* MERGEFORMAT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㈣</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t>投标有效期</w:t>
      </w:r>
      <w:bookmarkEnd w:id="65"/>
      <w:bookmarkEnd w:id="66"/>
      <w:bookmarkEnd w:id="67"/>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1.投标有效期见本</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中前附表所规定的期限，在此期限内，凡符合</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要求的投标文件均保持有效。</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在特殊情况下，采购人在原定投标有效期内，可以根据需要以书面形式向投标人提出延长投标有效期的要求，对此要求投标人须以书面形式予以答复。投标人可以拒绝投标采购人这种要求，但同意延长投标有效期的投标人既不能要求也不允许修改其投标文件。</w:t>
      </w:r>
    </w:p>
    <w:p>
      <w:pPr>
        <w:pStyle w:val="23"/>
        <w:spacing w:line="360" w:lineRule="auto"/>
        <w:ind w:firstLine="482" w:firstLineChars="200"/>
        <w:jc w:val="left"/>
        <w:outlineLvl w:val="1"/>
        <w:rPr>
          <w:rFonts w:hint="eastAsia" w:ascii="仿宋" w:hAnsi="仿宋" w:eastAsia="仿宋" w:cs="仿宋"/>
          <w:b/>
          <w:sz w:val="24"/>
          <w:szCs w:val="24"/>
          <w:highlight w:val="none"/>
        </w:rPr>
      </w:pPr>
      <w:bookmarkStart w:id="68" w:name="_Toc30678"/>
      <w:bookmarkStart w:id="69" w:name="_Toc26656"/>
      <w:bookmarkStart w:id="70" w:name="_Toc21844"/>
      <w:bookmarkStart w:id="71" w:name="_Toc6494380"/>
      <w:bookmarkStart w:id="72" w:name="_Toc91899892"/>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 5 \* GB4 \* MERGEFORMAT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㈤</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t>投标响应</w:t>
      </w:r>
      <w:bookmarkEnd w:id="68"/>
      <w:bookmarkEnd w:id="69"/>
      <w:bookmarkEnd w:id="70"/>
    </w:p>
    <w:bookmarkEnd w:id="71"/>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1.投标文件的上传和递交</w:t>
      </w:r>
    </w:p>
    <w:p>
      <w:pPr>
        <w:pStyle w:val="23"/>
        <w:wordWrap w:val="0"/>
        <w:spacing w:line="360" w:lineRule="auto"/>
        <w:ind w:firstLine="480" w:firstLineChars="200"/>
        <w:jc w:val="left"/>
        <w:rPr>
          <w:rFonts w:hint="eastAsia" w:ascii="仿宋" w:hAnsi="仿宋" w:eastAsia="仿宋" w:cs="仿宋"/>
          <w:sz w:val="24"/>
          <w:szCs w:val="24"/>
          <w:highlight w:val="none"/>
          <w:lang w:bidi="ar"/>
        </w:rPr>
      </w:pPr>
      <w:r>
        <w:rPr>
          <w:rFonts w:hint="eastAsia" w:ascii="仿宋" w:hAnsi="仿宋" w:eastAsia="仿宋" w:cs="仿宋"/>
          <w:bCs/>
          <w:sz w:val="24"/>
          <w:szCs w:val="24"/>
          <w:highlight w:val="none"/>
        </w:rPr>
        <w:t>⑴投标人应在投标文件截止时间前</w:t>
      </w:r>
      <w:r>
        <w:rPr>
          <w:rFonts w:hint="eastAsia" w:ascii="仿宋" w:hAnsi="仿宋" w:eastAsia="仿宋" w:cs="仿宋"/>
          <w:sz w:val="24"/>
          <w:szCs w:val="24"/>
          <w:highlight w:val="none"/>
          <w:lang w:bidi="ar"/>
        </w:rPr>
        <w:t>（以上传完成时间为准）将由制作工具制作生成的</w:t>
      </w:r>
      <w:r>
        <w:rPr>
          <w:rFonts w:hint="eastAsia" w:ascii="仿宋" w:hAnsi="仿宋" w:eastAsia="仿宋" w:cs="仿宋"/>
          <w:bCs/>
          <w:sz w:val="24"/>
          <w:szCs w:val="24"/>
          <w:highlight w:val="none"/>
        </w:rPr>
        <w:t>电子加密投标文件</w:t>
      </w:r>
      <w:r>
        <w:rPr>
          <w:rFonts w:hint="eastAsia" w:ascii="仿宋" w:hAnsi="仿宋" w:eastAsia="仿宋" w:cs="仿宋"/>
          <w:sz w:val="24"/>
          <w:szCs w:val="24"/>
          <w:highlight w:val="none"/>
          <w:lang w:bidi="ar"/>
        </w:rPr>
        <w:t>（.QZCGTF）</w:t>
      </w:r>
      <w:r>
        <w:rPr>
          <w:rFonts w:hint="eastAsia" w:ascii="仿宋" w:hAnsi="仿宋" w:eastAsia="仿宋" w:cs="仿宋"/>
          <w:bCs/>
          <w:sz w:val="24"/>
          <w:szCs w:val="24"/>
          <w:highlight w:val="none"/>
        </w:rPr>
        <w:t>成功上传递交至</w:t>
      </w:r>
      <w:r>
        <w:rPr>
          <w:rFonts w:hint="eastAsia" w:ascii="仿宋" w:hAnsi="仿宋" w:eastAsia="仿宋" w:cs="仿宋"/>
          <w:sz w:val="24"/>
          <w:szCs w:val="24"/>
          <w:highlight w:val="none"/>
          <w:lang w:bidi="ar"/>
        </w:rPr>
        <w:t>衢州市阳光交易服务平台（https://qzygjy.com/TPBidder/memberLogin?type=13），</w:t>
      </w:r>
      <w:r>
        <w:rPr>
          <w:rFonts w:hint="eastAsia" w:ascii="仿宋" w:hAnsi="仿宋" w:eastAsia="仿宋" w:cs="仿宋"/>
          <w:bCs/>
          <w:sz w:val="24"/>
          <w:szCs w:val="24"/>
          <w:highlight w:val="none"/>
        </w:rPr>
        <w:t>否则投标无效。</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2.投标文件的修改与撤回</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⑴投标人应当在开标响应截止时间前完成投标文件的上传、递交，并可以补充、修改或者撤回投标文件。补充或者修改投标文件的，应当先行撤回原文件，补充、修改后重新上传、递交。开标响应截止时间前未完成上传、递交的，视为撤回投标文件。开标响应截止时间后递交的投标文件，“衢州市阳光交易服务平台”将予以拒收。</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⑵开标响应截止时间后，投标人不得撤回、修改《投标文件》。</w:t>
      </w:r>
    </w:p>
    <w:bookmarkEnd w:id="72"/>
    <w:p>
      <w:pPr>
        <w:pStyle w:val="23"/>
        <w:spacing w:line="360" w:lineRule="auto"/>
        <w:ind w:firstLine="482" w:firstLineChars="200"/>
        <w:jc w:val="left"/>
        <w:outlineLvl w:val="1"/>
        <w:rPr>
          <w:rFonts w:hint="default" w:ascii="仿宋" w:hAnsi="仿宋" w:eastAsia="仿宋" w:cs="仿宋"/>
          <w:b/>
          <w:sz w:val="24"/>
          <w:szCs w:val="24"/>
          <w:highlight w:val="none"/>
          <w:lang w:val="en-US" w:eastAsia="zh-CN"/>
        </w:rPr>
      </w:pPr>
      <w:bookmarkStart w:id="73" w:name="_Toc28885"/>
      <w:bookmarkStart w:id="74" w:name="_Toc1675"/>
      <w:bookmarkStart w:id="75" w:name="_Toc26964"/>
      <w:bookmarkStart w:id="76" w:name="_Toc233618976"/>
      <w:bookmarkStart w:id="77" w:name="_Toc91899897"/>
      <w:bookmarkStart w:id="78" w:name="_Toc6494381"/>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 6 \* GB4 \* MERGEFORMAT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㈥</w:t>
      </w:r>
      <w:r>
        <w:rPr>
          <w:rFonts w:hint="eastAsia" w:ascii="仿宋" w:hAnsi="仿宋" w:eastAsia="仿宋" w:cs="仿宋"/>
          <w:b/>
          <w:sz w:val="24"/>
          <w:szCs w:val="24"/>
          <w:highlight w:val="none"/>
        </w:rPr>
        <w:fldChar w:fldCharType="end"/>
      </w:r>
      <w:bookmarkEnd w:id="73"/>
      <w:bookmarkEnd w:id="74"/>
      <w:bookmarkEnd w:id="75"/>
      <w:r>
        <w:rPr>
          <w:rFonts w:hint="eastAsia" w:ascii="仿宋" w:hAnsi="仿宋" w:eastAsia="仿宋" w:cs="仿宋"/>
          <w:b/>
          <w:sz w:val="24"/>
          <w:szCs w:val="24"/>
          <w:highlight w:val="none"/>
          <w:lang w:val="en-US" w:eastAsia="zh-CN"/>
        </w:rPr>
        <w:t>开标程序</w:t>
      </w:r>
    </w:p>
    <w:bookmarkEnd w:id="76"/>
    <w:bookmarkEnd w:id="77"/>
    <w:bookmarkEnd w:id="78"/>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1.开标形式</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采购代理机构</w:t>
      </w:r>
      <w:r>
        <w:rPr>
          <w:rFonts w:hint="eastAsia" w:ascii="仿宋" w:hAnsi="仿宋" w:eastAsia="仿宋" w:cs="仿宋"/>
          <w:bCs/>
          <w:sz w:val="24"/>
          <w:szCs w:val="24"/>
          <w:highlight w:val="none"/>
        </w:rPr>
        <w:t>将按照</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规定的时间通过“衢州市阳光交易服务平台”组织开标、开启投标文件，所有投标人均应当准时在线参加。</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2.开标准备</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⑴开标的准备工作由采购</w:t>
      </w:r>
      <w:r>
        <w:rPr>
          <w:rFonts w:hint="eastAsia" w:ascii="仿宋" w:hAnsi="仿宋" w:eastAsia="仿宋" w:cs="仿宋"/>
          <w:bCs/>
          <w:sz w:val="24"/>
          <w:szCs w:val="24"/>
          <w:highlight w:val="none"/>
          <w:lang w:val="en-US" w:eastAsia="zh-CN"/>
        </w:rPr>
        <w:t>代理</w:t>
      </w:r>
      <w:r>
        <w:rPr>
          <w:rFonts w:hint="eastAsia" w:ascii="仿宋" w:hAnsi="仿宋" w:eastAsia="仿宋" w:cs="仿宋"/>
          <w:bCs/>
          <w:sz w:val="24"/>
          <w:szCs w:val="24"/>
          <w:highlight w:val="none"/>
        </w:rPr>
        <w:t>机构负责落实；</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⑵采购</w:t>
      </w:r>
      <w:r>
        <w:rPr>
          <w:rFonts w:hint="eastAsia" w:ascii="仿宋" w:hAnsi="仿宋" w:eastAsia="仿宋" w:cs="仿宋"/>
          <w:bCs/>
          <w:sz w:val="24"/>
          <w:szCs w:val="24"/>
          <w:highlight w:val="none"/>
          <w:lang w:val="en-US" w:eastAsia="zh-CN"/>
        </w:rPr>
        <w:t>代理</w:t>
      </w:r>
      <w:r>
        <w:rPr>
          <w:rFonts w:hint="eastAsia" w:ascii="仿宋" w:hAnsi="仿宋" w:eastAsia="仿宋" w:cs="仿宋"/>
          <w:bCs/>
          <w:sz w:val="24"/>
          <w:szCs w:val="24"/>
          <w:highlight w:val="none"/>
        </w:rPr>
        <w:t>机构将按照</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规定的时间通过“衢州市阳光交易服务平台”组织开标、开启投标文件，所有投标人均应当准时在线参加。投标人如不参加开标的，视同认可开标结果，事后不得对采购相关人员、招标过程和开标结果提出异议，同时投标人因未在线参加开标而导致投标文件无法按时解密等一切后果由投标人自己承担。</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.开标原则</w:t>
      </w:r>
    </w:p>
    <w:p>
      <w:pPr>
        <w:pStyle w:val="23"/>
        <w:spacing w:line="360" w:lineRule="auto"/>
        <w:ind w:firstLine="480" w:firstLineChars="200"/>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1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⑴</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lang w:val="en-US" w:eastAsia="zh-CN"/>
        </w:rPr>
        <w:t>采购代理机构</w:t>
      </w:r>
      <w:r>
        <w:rPr>
          <w:rFonts w:hint="eastAsia" w:ascii="仿宋" w:hAnsi="仿宋" w:eastAsia="仿宋" w:cs="仿宋"/>
          <w:bCs/>
          <w:sz w:val="24"/>
          <w:szCs w:val="24"/>
          <w:highlight w:val="none"/>
        </w:rPr>
        <w:t>按本</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lang w:val="en-US" w:eastAsia="zh-CN"/>
        </w:rPr>
        <w:t>投标人</w:t>
      </w:r>
      <w:r>
        <w:rPr>
          <w:rFonts w:hint="eastAsia" w:ascii="仿宋" w:hAnsi="仿宋" w:eastAsia="仿宋" w:cs="仿宋"/>
          <w:bCs/>
          <w:sz w:val="24"/>
          <w:szCs w:val="24"/>
          <w:highlight w:val="none"/>
        </w:rPr>
        <w:t>须知前附表规定的时间和地点开标，投标人未准时参加电子开标的，不得对采购相关人员、开标过程及结果提出异议。</w:t>
      </w:r>
    </w:p>
    <w:p>
      <w:pPr>
        <w:pStyle w:val="23"/>
        <w:spacing w:line="360" w:lineRule="auto"/>
        <w:ind w:firstLine="480" w:firstLineChars="200"/>
        <w:jc w:val="left"/>
        <w:rPr>
          <w:rFonts w:hint="eastAsia"/>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2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⑵</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开标时出现的无效</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，不予评标。</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3.开标流程</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⑴至投标截止时间</w:t>
      </w:r>
    </w:p>
    <w:p>
      <w:pPr>
        <w:pStyle w:val="23"/>
        <w:spacing w:line="360" w:lineRule="auto"/>
        <w:ind w:firstLine="480" w:firstLineChars="200"/>
        <w:jc w:val="left"/>
        <w:rPr>
          <w:rFonts w:hint="eastAsia"/>
          <w:highlight w:val="none"/>
          <w:lang w:eastAsia="zh-CN"/>
        </w:rPr>
      </w:pPr>
      <w:r>
        <w:rPr>
          <w:rFonts w:hint="eastAsia" w:ascii="仿宋" w:hAnsi="仿宋" w:eastAsia="仿宋" w:cs="仿宋"/>
          <w:bCs/>
          <w:sz w:val="24"/>
          <w:szCs w:val="24"/>
          <w:highlight w:val="none"/>
        </w:rPr>
        <w:t>采购代理机构（或公证处工作人员）宣布开始开标，宣布开标项目名称等情况，公布在投标截止时间前受理的投标文件的供应商名称</w:t>
      </w:r>
      <w:r>
        <w:rPr>
          <w:rFonts w:hint="eastAsia" w:ascii="仿宋" w:hAnsi="仿宋" w:eastAsia="仿宋" w:cs="仿宋"/>
          <w:bCs/>
          <w:sz w:val="24"/>
          <w:szCs w:val="24"/>
          <w:highlight w:val="none"/>
          <w:lang w:eastAsia="zh-CN"/>
        </w:rPr>
        <w:t>；</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⑵供应商解密</w:t>
      </w:r>
    </w:p>
    <w:p>
      <w:pPr>
        <w:pStyle w:val="23"/>
        <w:wordWrap w:val="0"/>
        <w:spacing w:line="360" w:lineRule="auto"/>
        <w:ind w:firstLine="480" w:firstLineChars="200"/>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供应商解密时间：</w:t>
      </w:r>
      <w:r>
        <w:rPr>
          <w:rFonts w:hint="eastAsia" w:ascii="仿宋" w:hAnsi="仿宋" w:eastAsia="仿宋" w:cs="仿宋"/>
          <w:sz w:val="24"/>
          <w:szCs w:val="24"/>
          <w:highlight w:val="none"/>
        </w:rPr>
        <w:t>投标文件开启时间到后，</w:t>
      </w:r>
      <w:r>
        <w:rPr>
          <w:rFonts w:hint="eastAsia" w:ascii="仿宋" w:hAnsi="仿宋" w:eastAsia="仿宋" w:cs="仿宋"/>
          <w:bCs/>
          <w:sz w:val="24"/>
          <w:szCs w:val="24"/>
          <w:highlight w:val="none"/>
        </w:rPr>
        <w:t>采购代理机构（或公证处工作人员）</w:t>
      </w:r>
      <w:r>
        <w:rPr>
          <w:rFonts w:hint="eastAsia" w:ascii="仿宋" w:hAnsi="仿宋" w:eastAsia="仿宋" w:cs="仿宋"/>
          <w:sz w:val="24"/>
          <w:szCs w:val="24"/>
          <w:highlight w:val="none"/>
        </w:rPr>
        <w:t>宣布开始解密，30分钟内供应商应完成投标文件的解密。供应商解密方式：投标人自行登录衢州市阳光交易服务平台不见面开标大厅（https://qzygjy.com/BidOpening/bidopeninghallaction/hall/login</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标人身份——我的项目——选择标段——待代理开启解密后进行解密操作，投标人在规定的时间内都已完成解密，则系统自动结束解密；供应商因自身原因未在规定时间内完成解密，则默认自动放弃。采购代理机构导入投标文件成功后进入评标流程</w:t>
      </w:r>
      <w:r>
        <w:rPr>
          <w:rFonts w:hint="eastAsia" w:ascii="仿宋" w:hAnsi="仿宋" w:eastAsia="仿宋" w:cs="仿宋"/>
          <w:sz w:val="24"/>
          <w:szCs w:val="24"/>
          <w:highlight w:val="none"/>
          <w:lang w:eastAsia="zh-CN"/>
        </w:rPr>
        <w:t>。</w:t>
      </w:r>
    </w:p>
    <w:p>
      <w:pPr>
        <w:pStyle w:val="23"/>
        <w:spacing w:line="360" w:lineRule="auto"/>
        <w:ind w:firstLine="480" w:firstLineChars="200"/>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⑶供应商使用生成电子加密投标文件的CA数字证书解密投标文件</w:t>
      </w:r>
      <w:r>
        <w:rPr>
          <w:rFonts w:hint="eastAsia" w:ascii="仿宋" w:hAnsi="仿宋" w:eastAsia="仿宋" w:cs="仿宋"/>
          <w:bCs/>
          <w:sz w:val="24"/>
          <w:szCs w:val="24"/>
          <w:highlight w:val="none"/>
          <w:lang w:eastAsia="zh-CN"/>
        </w:rPr>
        <w:t>；</w:t>
      </w:r>
    </w:p>
    <w:p>
      <w:pPr>
        <w:pStyle w:val="23"/>
        <w:spacing w:line="360" w:lineRule="auto"/>
        <w:ind w:firstLine="480" w:firstLineChars="200"/>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⑷采购响应文件解密完成后，开标系统公布供应商名称及其他内容。投标报价将在商务技术文件评审结束后公布</w:t>
      </w:r>
      <w:r>
        <w:rPr>
          <w:rFonts w:hint="eastAsia" w:ascii="仿宋" w:hAnsi="仿宋" w:eastAsia="仿宋" w:cs="仿宋"/>
          <w:bCs/>
          <w:sz w:val="24"/>
          <w:szCs w:val="24"/>
          <w:highlight w:val="none"/>
          <w:lang w:eastAsia="zh-CN"/>
        </w:rPr>
        <w:t>。</w:t>
      </w:r>
    </w:p>
    <w:p>
      <w:pPr>
        <w:pStyle w:val="23"/>
        <w:spacing w:line="360" w:lineRule="auto"/>
        <w:ind w:firstLine="480" w:firstLineChars="200"/>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⑸进入评标环节，首先对解密成功的供应商进行资格审查，然后对通过资格审查的供应商进行商务技术文件评审，公布商务技术文件得分情况</w:t>
      </w:r>
      <w:r>
        <w:rPr>
          <w:rFonts w:hint="eastAsia" w:ascii="仿宋" w:hAnsi="仿宋" w:eastAsia="仿宋" w:cs="仿宋"/>
          <w:bCs/>
          <w:sz w:val="24"/>
          <w:szCs w:val="24"/>
          <w:highlight w:val="none"/>
          <w:lang w:eastAsia="zh-CN"/>
        </w:rPr>
        <w:t>。</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⑹供应商确认</w:t>
      </w:r>
    </w:p>
    <w:p>
      <w:pPr>
        <w:pStyle w:val="23"/>
        <w:spacing w:line="360" w:lineRule="auto"/>
        <w:ind w:firstLine="480" w:firstLineChars="200"/>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唱标完成后，供应商可通过衢州市阳光交易服务平台不见面开标大厅系统对唱标结果进行确认，未在开标结束前完成在线确认的供应商，衢州市阳光交易服务平台不见面开标大厅系统将视作自动确认</w:t>
      </w:r>
      <w:r>
        <w:rPr>
          <w:rFonts w:hint="eastAsia" w:ascii="仿宋" w:hAnsi="仿宋" w:eastAsia="仿宋" w:cs="仿宋"/>
          <w:bCs/>
          <w:sz w:val="24"/>
          <w:szCs w:val="24"/>
          <w:highlight w:val="none"/>
          <w:lang w:eastAsia="zh-CN"/>
        </w:rPr>
        <w:t>。</w:t>
      </w:r>
    </w:p>
    <w:p>
      <w:pPr>
        <w:pStyle w:val="23"/>
        <w:spacing w:line="360" w:lineRule="auto"/>
        <w:ind w:firstLine="480" w:firstLineChars="200"/>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供应商对开标过程有异议的，应通过衢州市阳光交易服务平台不见面开标大厅系统的“开标异议文字提问”按钮进行异议，采购人通过衢州市阳光交易服务平台不见面开标大厅系统文字答复，供应商提出异议的时间截止至开标结果公布后5分钟</w:t>
      </w:r>
      <w:r>
        <w:rPr>
          <w:rFonts w:hint="eastAsia" w:ascii="仿宋" w:hAnsi="仿宋" w:eastAsia="仿宋" w:cs="仿宋"/>
          <w:bCs/>
          <w:sz w:val="24"/>
          <w:szCs w:val="24"/>
          <w:highlight w:val="none"/>
          <w:lang w:eastAsia="zh-CN"/>
        </w:rPr>
        <w:t>。</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⑺评标结束后，采购代理机构（或公证处工作人员）宣布</w:t>
      </w:r>
      <w:r>
        <w:rPr>
          <w:rFonts w:hint="eastAsia" w:ascii="仿宋" w:hAnsi="仿宋" w:eastAsia="仿宋" w:cs="仿宋"/>
          <w:bCs/>
          <w:sz w:val="24"/>
          <w:szCs w:val="24"/>
          <w:highlight w:val="none"/>
          <w:lang w:val="en-US" w:eastAsia="zh-CN"/>
        </w:rPr>
        <w:t>中标</w:t>
      </w:r>
      <w:r>
        <w:rPr>
          <w:rFonts w:hint="eastAsia" w:ascii="仿宋" w:hAnsi="仿宋" w:eastAsia="仿宋" w:cs="仿宋"/>
          <w:bCs/>
          <w:sz w:val="24"/>
          <w:szCs w:val="24"/>
          <w:highlight w:val="none"/>
        </w:rPr>
        <w:t>候选人。采购代理机构（或公证处工作人员）宣布开标会议结束。</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4.开标特别说明</w:t>
      </w:r>
    </w:p>
    <w:p>
      <w:pPr>
        <w:spacing w:line="360" w:lineRule="auto"/>
        <w:ind w:firstLine="480" w:firstLineChars="200"/>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⑴开标解密使用供应商上传的电子投标文件</w:t>
      </w:r>
      <w:r>
        <w:rPr>
          <w:rFonts w:hint="eastAsia" w:ascii="仿宋" w:hAnsi="仿宋" w:eastAsia="仿宋" w:cs="仿宋"/>
          <w:bCs/>
          <w:sz w:val="24"/>
          <w:szCs w:val="24"/>
          <w:highlight w:val="none"/>
          <w:lang w:eastAsia="zh-CN"/>
        </w:rPr>
        <w:t>；</w:t>
      </w:r>
    </w:p>
    <w:p>
      <w:pPr>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⑵因供应商原因（包括供应商自主选择的CA证书、电脑环境、网络等），造成其电子投标文件未解密的，或投标文件解密了，但投标文件无法识别、读取的，视为撤销其投标文件</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 xml:space="preserve"> </w:t>
      </w:r>
    </w:p>
    <w:p>
      <w:pPr>
        <w:pStyle w:val="23"/>
        <w:spacing w:line="360" w:lineRule="auto"/>
        <w:ind w:firstLine="480" w:firstLineChars="200"/>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⑶供应商必须使用生成电子投标文件的CA数字证书解密电子投标文件</w:t>
      </w:r>
      <w:r>
        <w:rPr>
          <w:rFonts w:hint="eastAsia" w:ascii="仿宋" w:hAnsi="仿宋" w:eastAsia="仿宋" w:cs="仿宋"/>
          <w:bCs/>
          <w:sz w:val="24"/>
          <w:szCs w:val="24"/>
          <w:highlight w:val="none"/>
          <w:lang w:eastAsia="zh-CN"/>
        </w:rPr>
        <w:t>；</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特别说明：如遇“衢州市阳光交易服务平台”电子化开标或评标程序调整的，按调整后程序执行。</w:t>
      </w:r>
    </w:p>
    <w:p>
      <w:pPr>
        <w:pStyle w:val="23"/>
        <w:spacing w:line="360" w:lineRule="auto"/>
        <w:ind w:firstLine="482" w:firstLineChars="200"/>
        <w:jc w:val="left"/>
        <w:outlineLvl w:val="1"/>
        <w:rPr>
          <w:rFonts w:hint="eastAsia" w:ascii="仿宋" w:hAnsi="仿宋" w:eastAsia="仿宋" w:cs="仿宋"/>
          <w:b/>
          <w:sz w:val="24"/>
          <w:szCs w:val="24"/>
          <w:highlight w:val="none"/>
        </w:rPr>
      </w:pPr>
      <w:bookmarkStart w:id="79" w:name="_Toc5796"/>
      <w:bookmarkStart w:id="80" w:name="_Toc24211"/>
      <w:bookmarkStart w:id="81" w:name="_Toc24550037"/>
      <w:bookmarkStart w:id="82" w:name="_Toc33194393"/>
      <w:bookmarkStart w:id="83" w:name="_Toc771"/>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 7 \* GB4 \* MERGEFORMAT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㈦</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t>投标人资格审查</w:t>
      </w:r>
      <w:bookmarkEnd w:id="79"/>
      <w:bookmarkEnd w:id="80"/>
      <w:bookmarkEnd w:id="81"/>
      <w:bookmarkEnd w:id="82"/>
      <w:bookmarkEnd w:id="83"/>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eastAsia="zh-CN"/>
        </w:rPr>
        <w:t>评审小组</w:t>
      </w:r>
      <w:r>
        <w:rPr>
          <w:rFonts w:hint="eastAsia" w:ascii="仿宋" w:hAnsi="仿宋" w:eastAsia="仿宋" w:cs="仿宋"/>
          <w:bCs/>
          <w:sz w:val="24"/>
          <w:szCs w:val="24"/>
          <w:highlight w:val="none"/>
        </w:rPr>
        <w:t>首先依法对各投标人的资格进行审查，审查各投标人的资格是否满足</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的要求。</w:t>
      </w:r>
      <w:r>
        <w:rPr>
          <w:rFonts w:hint="eastAsia" w:ascii="仿宋" w:hAnsi="仿宋" w:eastAsia="仿宋" w:cs="仿宋"/>
          <w:bCs/>
          <w:sz w:val="24"/>
          <w:szCs w:val="24"/>
          <w:highlight w:val="none"/>
          <w:lang w:eastAsia="zh-CN"/>
        </w:rPr>
        <w:t>评审小组</w:t>
      </w:r>
      <w:r>
        <w:rPr>
          <w:rFonts w:hint="eastAsia" w:ascii="仿宋" w:hAnsi="仿宋" w:eastAsia="仿宋" w:cs="仿宋"/>
          <w:bCs/>
          <w:sz w:val="24"/>
          <w:szCs w:val="24"/>
          <w:highlight w:val="none"/>
        </w:rPr>
        <w:t>对投标人所提交的资格证明材料仅负审核的责任。如发现投标人所提交的资格审查文件不合法或与事实不符，采购人可取消其中标资格并追究投标人的法律责任。</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2.投标人提交的资格证明材料无法证明其符合</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规定的“投标人资格要求”的，</w:t>
      </w:r>
      <w:r>
        <w:rPr>
          <w:rFonts w:hint="eastAsia" w:ascii="仿宋" w:hAnsi="仿宋" w:eastAsia="仿宋" w:cs="仿宋"/>
          <w:bCs/>
          <w:sz w:val="24"/>
          <w:szCs w:val="24"/>
          <w:highlight w:val="none"/>
          <w:lang w:eastAsia="zh-CN"/>
        </w:rPr>
        <w:t>评审小组</w:t>
      </w:r>
      <w:r>
        <w:rPr>
          <w:rFonts w:hint="eastAsia" w:ascii="仿宋" w:hAnsi="仿宋" w:eastAsia="仿宋" w:cs="仿宋"/>
          <w:bCs/>
          <w:sz w:val="24"/>
          <w:szCs w:val="24"/>
          <w:highlight w:val="none"/>
        </w:rPr>
        <w:t>将对其作资格审查不通过处理（无效投标），并不再将其投标进行后续评标。</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3.单位负责人为同一人或者存在直接控股、管理关系的不同投标人参加同一合同项下的采购活动的，相关投标人均作资格无效处理。</w:t>
      </w:r>
    </w:p>
    <w:p>
      <w:pPr>
        <w:pStyle w:val="23"/>
        <w:spacing w:line="360" w:lineRule="auto"/>
        <w:ind w:firstLine="482" w:firstLineChars="200"/>
        <w:jc w:val="left"/>
        <w:outlineLvl w:val="1"/>
        <w:rPr>
          <w:rFonts w:hint="eastAsia" w:ascii="仿宋" w:hAnsi="仿宋" w:eastAsia="仿宋" w:cs="仿宋"/>
          <w:b/>
          <w:sz w:val="24"/>
          <w:szCs w:val="24"/>
          <w:highlight w:val="none"/>
        </w:rPr>
      </w:pPr>
      <w:bookmarkStart w:id="84" w:name="_Toc9436"/>
      <w:bookmarkStart w:id="85" w:name="_Toc32498"/>
      <w:bookmarkStart w:id="86" w:name="_Toc17250"/>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 8 \* GB4 \* MERGEFORMAT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㈧</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t>无效标条款</w:t>
      </w:r>
      <w:bookmarkEnd w:id="84"/>
      <w:bookmarkEnd w:id="85"/>
      <w:bookmarkEnd w:id="86"/>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1.有下列情况之一的，对投标人作无效标处理。</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1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⑴</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不具备</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规定资格要求；</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2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⑵</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获取</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的投标人与参加开标投标人发生实质性变更的且未提供有效证明的；</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3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⑶</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在“资格审查文件”“商务技术文件”中出现</w:t>
      </w:r>
      <w:r>
        <w:rPr>
          <w:rFonts w:hint="eastAsia" w:ascii="仿宋" w:hAnsi="仿宋" w:eastAsia="仿宋" w:cs="仿宋"/>
          <w:bCs/>
          <w:sz w:val="24"/>
          <w:szCs w:val="24"/>
          <w:highlight w:val="none"/>
          <w:lang w:val="en-US" w:eastAsia="zh-CN"/>
        </w:rPr>
        <w:t>投标</w:t>
      </w:r>
      <w:r>
        <w:rPr>
          <w:rFonts w:hint="eastAsia" w:ascii="仿宋" w:hAnsi="仿宋" w:eastAsia="仿宋" w:cs="仿宋"/>
          <w:bCs/>
          <w:sz w:val="24"/>
          <w:szCs w:val="24"/>
          <w:highlight w:val="none"/>
        </w:rPr>
        <w:t>报价的；</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4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⑷</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中有▲处条款投标人未作实质性响应的；</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5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⑸</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提供虚假材料谋取中标的；</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6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⑹</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投标报价超过采购预算价或最高限价的；</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7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⑺</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资格审查文件不全的，或者不符合</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标明的资格要求的；</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8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⑻</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投标人在</w:t>
      </w:r>
      <w:r>
        <w:rPr>
          <w:rFonts w:hint="eastAsia" w:ascii="仿宋" w:hAnsi="仿宋" w:eastAsia="仿宋" w:cs="仿宋"/>
          <w:bCs/>
          <w:sz w:val="24"/>
          <w:szCs w:val="24"/>
          <w:highlight w:val="none"/>
          <w:lang w:val="en-US" w:eastAsia="zh-CN"/>
        </w:rPr>
        <w:t>投标</w:t>
      </w:r>
      <w:r>
        <w:rPr>
          <w:rFonts w:hint="eastAsia" w:ascii="仿宋" w:hAnsi="仿宋" w:eastAsia="仿宋" w:cs="仿宋"/>
          <w:bCs/>
          <w:sz w:val="24"/>
          <w:szCs w:val="24"/>
          <w:highlight w:val="none"/>
        </w:rPr>
        <w:t>报价计算或表达上有错误时，投标人不接受修正后报价的；</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9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⑼</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明显不符合</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中主要技术规格、技术标准的（例如关于“▲”条款及特别说明的）；</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10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⑽</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投标文件含有采购人不能接受的附</w:t>
      </w:r>
      <w:r>
        <w:rPr>
          <w:rFonts w:hint="eastAsia" w:ascii="仿宋" w:hAnsi="仿宋" w:eastAsia="仿宋" w:cs="仿宋"/>
          <w:bCs/>
          <w:sz w:val="24"/>
          <w:szCs w:val="24"/>
          <w:highlight w:val="none"/>
          <w:lang w:val="en-US" w:eastAsia="zh-CN"/>
        </w:rPr>
        <w:t>加</w:t>
      </w:r>
      <w:r>
        <w:rPr>
          <w:rFonts w:hint="eastAsia" w:ascii="仿宋" w:hAnsi="仿宋" w:eastAsia="仿宋" w:cs="仿宋"/>
          <w:bCs/>
          <w:sz w:val="24"/>
          <w:szCs w:val="24"/>
          <w:highlight w:val="none"/>
        </w:rPr>
        <w:t>条件的；</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11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⑾</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投标文件载明的采购项目完成期限超过了采购项目文件规定的期限；</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12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⑿</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投标人有围标串标行为或明显串标嫌疑的；</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13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⒀</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不同投标人的投标文件制作机器码或创建标识码一致的（投标文件制作机器码一致是指MAC地址、CPU序列号、硬盘序列号、主板序列号全部一致或制作IP地址、上传IP地址等与此电脑相关的硬件标识号码中有一个一致）</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⒁不符合</w:t>
      </w:r>
      <w:r>
        <w:rPr>
          <w:rFonts w:hint="eastAsia" w:ascii="仿宋" w:hAnsi="仿宋" w:eastAsia="仿宋" w:cs="仿宋"/>
          <w:bCs/>
          <w:sz w:val="24"/>
          <w:szCs w:val="24"/>
          <w:highlight w:val="none"/>
          <w:lang w:eastAsia="zh-CN"/>
        </w:rPr>
        <w:t>法律法规</w:t>
      </w:r>
      <w:r>
        <w:rPr>
          <w:rFonts w:hint="eastAsia" w:ascii="仿宋" w:hAnsi="仿宋" w:eastAsia="仿宋" w:cs="仿宋"/>
          <w:bCs/>
          <w:sz w:val="24"/>
          <w:szCs w:val="24"/>
          <w:highlight w:val="none"/>
        </w:rPr>
        <w:t>和</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规定的其他实质性要求的。</w:t>
      </w:r>
    </w:p>
    <w:p>
      <w:pPr>
        <w:pStyle w:val="23"/>
        <w:spacing w:line="360" w:lineRule="auto"/>
        <w:ind w:firstLine="482" w:firstLineChars="200"/>
        <w:jc w:val="left"/>
        <w:outlineLvl w:val="1"/>
        <w:rPr>
          <w:rFonts w:hint="eastAsia" w:ascii="仿宋" w:hAnsi="仿宋" w:eastAsia="仿宋" w:cs="仿宋"/>
          <w:b/>
          <w:sz w:val="24"/>
          <w:szCs w:val="24"/>
          <w:highlight w:val="none"/>
        </w:rPr>
      </w:pPr>
      <w:bookmarkStart w:id="87" w:name="_Toc2251"/>
      <w:bookmarkStart w:id="88" w:name="_Toc25302"/>
      <w:bookmarkStart w:id="89" w:name="_Toc17824"/>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 9 \* GB4 \* MERGEFORMAT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㈨</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t>废标的情形</w:t>
      </w:r>
      <w:bookmarkEnd w:id="87"/>
      <w:bookmarkEnd w:id="88"/>
      <w:bookmarkEnd w:id="89"/>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1.采购中，出现下列情形之一的，应予废标：</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1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⑴</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符合专业条件的供应商或者对采购文件作实质响应的供应商不足3家的；</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2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⑵</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出现影响采购</w:t>
      </w:r>
      <w:r>
        <w:rPr>
          <w:rFonts w:hint="eastAsia" w:ascii="仿宋" w:hAnsi="仿宋" w:eastAsia="仿宋" w:cs="仿宋"/>
          <w:bCs/>
          <w:sz w:val="24"/>
          <w:szCs w:val="24"/>
          <w:highlight w:val="none"/>
          <w:lang w:eastAsia="zh-CN"/>
        </w:rPr>
        <w:t>公正</w:t>
      </w:r>
      <w:r>
        <w:rPr>
          <w:rFonts w:hint="eastAsia" w:ascii="仿宋" w:hAnsi="仿宋" w:eastAsia="仿宋" w:cs="仿宋"/>
          <w:bCs/>
          <w:sz w:val="24"/>
          <w:szCs w:val="24"/>
          <w:highlight w:val="none"/>
        </w:rPr>
        <w:t>的违法、违规行为的；</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3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⑶</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投标人的报价均超过了采购预算，采购人不能支付的；</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4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⑷</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因重大变故，采购任务取消的。</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废标后，采购人应当将废标理由通知所有投标人；除采购任务取消情形外，应当重新组织招标。</w:t>
      </w:r>
    </w:p>
    <w:p>
      <w:pPr>
        <w:pStyle w:val="23"/>
        <w:spacing w:line="360" w:lineRule="auto"/>
        <w:ind w:firstLine="482" w:firstLineChars="200"/>
        <w:jc w:val="left"/>
        <w:outlineLvl w:val="1"/>
        <w:rPr>
          <w:rFonts w:hint="eastAsia" w:ascii="仿宋" w:hAnsi="仿宋" w:eastAsia="仿宋" w:cs="仿宋"/>
          <w:b/>
          <w:sz w:val="24"/>
          <w:szCs w:val="24"/>
          <w:highlight w:val="none"/>
        </w:rPr>
      </w:pPr>
      <w:bookmarkStart w:id="90" w:name="_Toc22177"/>
      <w:bookmarkStart w:id="91" w:name="_Toc22675"/>
      <w:bookmarkStart w:id="92" w:name="_Toc30791"/>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 10 \* GB4 \* MERGEFORMAT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㈩</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lang w:val="en-US" w:eastAsia="zh-CN"/>
        </w:rPr>
        <w:t>评</w:t>
      </w:r>
      <w:r>
        <w:rPr>
          <w:rFonts w:hint="eastAsia" w:ascii="仿宋" w:hAnsi="仿宋" w:eastAsia="仿宋" w:cs="仿宋"/>
          <w:b/>
          <w:sz w:val="24"/>
          <w:szCs w:val="24"/>
          <w:highlight w:val="none"/>
        </w:rPr>
        <w:t>标程序</w:t>
      </w:r>
      <w:bookmarkEnd w:id="90"/>
      <w:bookmarkEnd w:id="91"/>
      <w:bookmarkEnd w:id="92"/>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.评审小组</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1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⑴</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采购代理机构和采购人将根据采购货物或服务的特点依法组建评审小组，评审小组对</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进行审查、询标、评议和推荐中标候选人。</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2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⑵</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在评标期间</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若有需要投标人应派代表参加询标。</w:t>
      </w:r>
    </w:p>
    <w:p>
      <w:pPr>
        <w:pStyle w:val="23"/>
        <w:spacing w:line="360" w:lineRule="auto"/>
        <w:ind w:firstLine="480" w:firstLineChars="200"/>
        <w:jc w:val="left"/>
        <w:rPr>
          <w:rFonts w:hint="eastAsia" w:ascii="仿宋" w:hAnsi="仿宋" w:eastAsia="仿宋" w:cs="仿宋"/>
          <w:bCs/>
          <w:sz w:val="24"/>
          <w:szCs w:val="24"/>
          <w:highlight w:val="none"/>
        </w:rPr>
      </w:pPr>
      <w:bookmarkStart w:id="93" w:name="_Toc24550044"/>
      <w:bookmarkStart w:id="94" w:name="_Toc33194395"/>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rPr>
        <w:t>.评标流程及内容</w:t>
      </w:r>
      <w:bookmarkEnd w:id="93"/>
      <w:bookmarkEnd w:id="94"/>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本项目具体的评标事务由</w:t>
      </w:r>
      <w:r>
        <w:rPr>
          <w:rFonts w:hint="eastAsia" w:ascii="仿宋" w:hAnsi="仿宋" w:eastAsia="仿宋" w:cs="仿宋"/>
          <w:bCs/>
          <w:sz w:val="24"/>
          <w:szCs w:val="24"/>
          <w:highlight w:val="none"/>
          <w:lang w:eastAsia="zh-CN"/>
        </w:rPr>
        <w:t>评审小组</w:t>
      </w:r>
      <w:r>
        <w:rPr>
          <w:rFonts w:hint="eastAsia" w:ascii="仿宋" w:hAnsi="仿宋" w:eastAsia="仿宋" w:cs="仿宋"/>
          <w:bCs/>
          <w:sz w:val="24"/>
          <w:szCs w:val="24"/>
          <w:highlight w:val="none"/>
        </w:rPr>
        <w:t>负责，评标流程及内容如下：</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1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⑴</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评标前准备</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1 \* GB3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①</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由评标专家推选评审小组组长，采购人代表不得担任评审小组组长。</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②由评审小组组长召集所有</w:t>
      </w:r>
      <w:r>
        <w:rPr>
          <w:rFonts w:hint="eastAsia" w:ascii="仿宋" w:hAnsi="仿宋" w:eastAsia="仿宋" w:cs="仿宋"/>
          <w:bCs/>
          <w:sz w:val="24"/>
          <w:szCs w:val="24"/>
          <w:highlight w:val="none"/>
          <w:lang w:eastAsia="zh-CN"/>
        </w:rPr>
        <w:t>评审小组</w:t>
      </w:r>
      <w:r>
        <w:rPr>
          <w:rFonts w:hint="eastAsia" w:ascii="仿宋" w:hAnsi="仿宋" w:eastAsia="仿宋" w:cs="仿宋"/>
          <w:bCs/>
          <w:sz w:val="24"/>
          <w:szCs w:val="24"/>
          <w:highlight w:val="none"/>
          <w:lang w:val="en-US" w:eastAsia="zh-CN"/>
        </w:rPr>
        <w:t>成员</w:t>
      </w:r>
      <w:r>
        <w:rPr>
          <w:rFonts w:hint="eastAsia" w:ascii="仿宋" w:hAnsi="仿宋" w:eastAsia="仿宋" w:cs="仿宋"/>
          <w:bCs/>
          <w:sz w:val="24"/>
          <w:szCs w:val="24"/>
          <w:highlight w:val="none"/>
        </w:rPr>
        <w:t>阅读</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及相关补充、质疑、答复文件、项目书面说明等材料，熟悉采购项目基本情况、项目技术规范和服务要求、合同主要条款、投标文件无效情形、评标办法、评标标准，以及其他与评标有关的内容。</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2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⑵</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投标文件的初步审查、符合性审查</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对所有通过资格审查的投标人的投标文件进行初步审查，审查、评价投标文件是否符合</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的商务、技术、服务等实质性要求。</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评审小组</w:t>
      </w:r>
      <w:r>
        <w:rPr>
          <w:rFonts w:hint="eastAsia" w:ascii="仿宋" w:hAnsi="仿宋" w:eastAsia="仿宋" w:cs="仿宋"/>
          <w:bCs/>
          <w:sz w:val="24"/>
          <w:szCs w:val="24"/>
          <w:highlight w:val="none"/>
        </w:rPr>
        <w:t>首先对所有通过资格审查的投标人的投标文件进行符合性审查，审查每份投标文件是否实质上响应了</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的要求（实质性响应的投标文件是指投标文件符合</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规定的实质性内容、条件和规定）。</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投标文件的澄清、说明或补正</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1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⑴</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对于投标文件中含义不明确、同类问题表述不一致或者有明显文字和计算错误内容的，</w:t>
      </w:r>
      <w:r>
        <w:rPr>
          <w:rFonts w:hint="eastAsia" w:ascii="仿宋" w:hAnsi="仿宋" w:eastAsia="仿宋" w:cs="仿宋"/>
          <w:bCs/>
          <w:sz w:val="24"/>
          <w:szCs w:val="24"/>
          <w:highlight w:val="none"/>
          <w:lang w:eastAsia="zh-CN"/>
        </w:rPr>
        <w:t>评审小组</w:t>
      </w:r>
      <w:r>
        <w:rPr>
          <w:rFonts w:hint="eastAsia" w:ascii="仿宋" w:hAnsi="仿宋" w:eastAsia="仿宋" w:cs="仿宋"/>
          <w:bCs/>
          <w:sz w:val="24"/>
          <w:szCs w:val="24"/>
          <w:highlight w:val="none"/>
        </w:rPr>
        <w:t>将以书面形式（或通过“衢州市阳光交易服务平台”在线询标）的形式要求投标人在规定的时间内作出必要的澄清、说明或者补正，投标人澄清、说明或补正时间为30分钟。</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2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⑵</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投标人的澄清、说明或者补正应当采用书面（或通过“衢州市阳光交易服务平台”在线答复）形式提交，并加盖公章，或者由法定代表人或其授权的代表签字。投标人的澄清、说明或者补正不得超出投标文件的范围或者改变投标文件的实质性内容。</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.投标文件错误的修正</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1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⑴</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投标文件如果出现计算或表达上的错误，修正错误的原则如下：</w:t>
      </w:r>
    </w:p>
    <w:p>
      <w:pPr>
        <w:pStyle w:val="23"/>
        <w:numPr>
          <w:ilvl w:val="0"/>
          <w:numId w:val="0"/>
        </w:numPr>
        <w:tabs>
          <w:tab w:val="left" w:pos="0"/>
        </w:tabs>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 1 \* GB3 \* MERGEFORMAT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sz w:val="24"/>
          <w:szCs w:val="24"/>
          <w:highlight w:val="none"/>
        </w:rPr>
        <w:t>①</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sz w:val="24"/>
          <w:szCs w:val="24"/>
          <w:highlight w:val="none"/>
        </w:rPr>
        <w:t>投标文件中开标一览表内容与投标文件中相应内容不一致的，以开标一览表为准。</w:t>
      </w:r>
    </w:p>
    <w:p>
      <w:pPr>
        <w:pStyle w:val="23"/>
        <w:numPr>
          <w:ilvl w:val="0"/>
          <w:numId w:val="0"/>
        </w:numPr>
        <w:tabs>
          <w:tab w:val="left" w:pos="0"/>
        </w:tabs>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②投标文件的大写金额和小写金额不一致的，以大写金额为准；</w:t>
      </w:r>
    </w:p>
    <w:p>
      <w:pPr>
        <w:pStyle w:val="23"/>
        <w:numPr>
          <w:ilvl w:val="0"/>
          <w:numId w:val="0"/>
        </w:numPr>
        <w:tabs>
          <w:tab w:val="left" w:pos="0"/>
        </w:tabs>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 3 \* GB3 \* MERGEFORMAT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sz w:val="24"/>
          <w:szCs w:val="24"/>
          <w:highlight w:val="none"/>
        </w:rPr>
        <w:t>③</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sz w:val="24"/>
          <w:szCs w:val="24"/>
          <w:highlight w:val="none"/>
        </w:rPr>
        <w:t>单价金额小数点或者百分比有明显错位的，应以开标一览表的总价为准，并修改单价；</w:t>
      </w:r>
    </w:p>
    <w:p>
      <w:pPr>
        <w:pStyle w:val="23"/>
        <w:numPr>
          <w:ilvl w:val="0"/>
          <w:numId w:val="0"/>
        </w:numPr>
        <w:tabs>
          <w:tab w:val="left" w:pos="0"/>
        </w:tabs>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 4 \* GB3 \* MERGEFORMAT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sz w:val="24"/>
          <w:szCs w:val="24"/>
          <w:highlight w:val="none"/>
        </w:rPr>
        <w:t>④</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sz w:val="24"/>
          <w:szCs w:val="24"/>
          <w:highlight w:val="none"/>
        </w:rPr>
        <w:t>总价金额与单价汇总金额不一致的，以单价金额计算结果为准。</w:t>
      </w:r>
    </w:p>
    <w:p>
      <w:pPr>
        <w:pStyle w:val="2"/>
        <w:spacing w:line="360" w:lineRule="auto"/>
        <w:rPr>
          <w:rFonts w:hint="eastAsia" w:ascii="仿宋" w:hAnsi="仿宋" w:eastAsia="仿宋" w:cs="仿宋"/>
          <w:sz w:val="24"/>
          <w:szCs w:val="24"/>
          <w:highlight w:val="none"/>
          <w:lang w:val="en-US" w:eastAsia="zh-CN"/>
        </w:rPr>
      </w:pPr>
      <w:r>
        <w:rPr>
          <w:rFonts w:hint="eastAsia" w:ascii="仿宋" w:hAnsi="仿宋" w:eastAsia="仿宋" w:cs="仿宋"/>
          <w:bCs/>
          <w:sz w:val="24"/>
          <w:szCs w:val="24"/>
          <w:highlight w:val="none"/>
          <w:lang w:val="en-US" w:eastAsia="zh-CN"/>
        </w:rPr>
        <w:t xml:space="preserve">   </w:t>
      </w:r>
      <w:r>
        <w:rPr>
          <w:rFonts w:hint="eastAsia" w:ascii="仿宋" w:hAnsi="仿宋" w:eastAsia="仿宋" w:cs="仿宋"/>
          <w:b w:val="0"/>
          <w:bCs/>
          <w:spacing w:val="0"/>
          <w:kern w:val="2"/>
          <w:sz w:val="24"/>
          <w:szCs w:val="24"/>
          <w:highlight w:val="none"/>
          <w:lang w:val="en-US" w:eastAsia="zh-CN"/>
        </w:rPr>
        <w:t>注：同时出现两种以上不一致的，按照前款规定的顺序修正，修正后的报价需经投标人确认后产生约束力，投标人不确认的，其投标无效。</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2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⑵</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对不同文字文本投标文件的解释发生异议的，以中文文本为准。</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5.评标</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1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⑴</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 xml:space="preserve">评定原则：根据符合采购需求、质量和服务等要求，综合评标确定中标人。 </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2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⑵</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投标文件的澄清：在评标期间</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 xml:space="preserve"> 评审小组可要求投标人对其投标文件进行澄清</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但不得寻求、提供或允许对投标价格等实质性内容做任何更改。有关澄清的要求和答复均应以书面形式提交。</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3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⑶</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评标报告：评审小组完成评定后，向采购人提交经各评审小组成员签字的评定结果报告，并按评定办法推荐中标候选人。</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6.可中止电子交易活动的情形</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采购过程中出现以下情形，导致电子交易平台无法正常运行，或者无法保证电子交易的公平、公正和安全时，采购</w:t>
      </w:r>
      <w:r>
        <w:rPr>
          <w:rFonts w:hint="eastAsia" w:ascii="仿宋" w:hAnsi="仿宋" w:eastAsia="仿宋" w:cs="仿宋"/>
          <w:bCs/>
          <w:sz w:val="24"/>
          <w:szCs w:val="24"/>
          <w:highlight w:val="none"/>
          <w:lang w:val="en-US" w:eastAsia="zh-CN"/>
        </w:rPr>
        <w:t>代理</w:t>
      </w:r>
      <w:r>
        <w:rPr>
          <w:rFonts w:hint="eastAsia" w:ascii="仿宋" w:hAnsi="仿宋" w:eastAsia="仿宋" w:cs="仿宋"/>
          <w:bCs/>
          <w:sz w:val="24"/>
          <w:szCs w:val="24"/>
          <w:highlight w:val="none"/>
        </w:rPr>
        <w:t>机构可中止电子交易活动：</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1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⑴</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电子交易平台发生故障而无法登录访问的；</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2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⑵</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电子交易平台应用或数据库出现错误，不能进行正常操作的；</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3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⑶</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电子交易平台发现严重安全漏洞，有潜在泄密危险的；</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4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⑷</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病毒发作导致不能进行正常操作的；</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5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⑸</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其他无法保证电子交易的公平、公正和安全的情况。</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出现前款规定情形，不影响采购公平、公正性的，</w:t>
      </w:r>
      <w:r>
        <w:rPr>
          <w:rFonts w:hint="eastAsia" w:ascii="仿宋" w:hAnsi="仿宋" w:eastAsia="仿宋" w:cs="仿宋"/>
          <w:bCs/>
          <w:sz w:val="24"/>
          <w:szCs w:val="24"/>
          <w:highlight w:val="none"/>
          <w:lang w:eastAsia="zh-CN"/>
        </w:rPr>
        <w:t>采购代理机构</w:t>
      </w:r>
      <w:r>
        <w:rPr>
          <w:rFonts w:hint="eastAsia" w:ascii="仿宋" w:hAnsi="仿宋" w:eastAsia="仿宋" w:cs="仿宋"/>
          <w:bCs/>
          <w:sz w:val="24"/>
          <w:szCs w:val="24"/>
          <w:highlight w:val="none"/>
        </w:rPr>
        <w:t>可以待上述情形消除后继续组织电子交易活动；影响或可能影响采购公平、公正性的，应当重新采购。</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7.保密</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1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⑴</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公开开标后直到宣布授予中标人合同为止</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凡属于审查、澄清、评估和比较投标的有关资料且与授予合同有关的信息都不得向任何投标人或与上述评标过程无关的人员透露。</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2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⑵</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投标人对评标、比较或授予合同决定的过程施加影响的企图和行为</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都可能导致其投标被拒绝。</w:t>
      </w:r>
    </w:p>
    <w:p>
      <w:pPr>
        <w:pStyle w:val="23"/>
        <w:numPr>
          <w:ilvl w:val="0"/>
          <w:numId w:val="0"/>
        </w:numPr>
        <w:spacing w:line="360" w:lineRule="auto"/>
        <w:ind w:left="0" w:leftChars="0" w:firstLine="482" w:firstLineChars="200"/>
        <w:jc w:val="left"/>
        <w:outlineLvl w:val="1"/>
        <w:rPr>
          <w:rFonts w:hint="eastAsia" w:ascii="仿宋" w:hAnsi="仿宋" w:eastAsia="仿宋" w:cs="仿宋"/>
          <w:b/>
          <w:sz w:val="24"/>
          <w:szCs w:val="24"/>
          <w:highlight w:val="none"/>
        </w:rPr>
      </w:pPr>
      <w:bookmarkStart w:id="95" w:name="_Toc16478"/>
      <w:bookmarkStart w:id="96" w:name="_Toc7982"/>
      <w:bookmarkStart w:id="97" w:name="_Toc23559"/>
      <w:r>
        <w:rPr>
          <w:rFonts w:hint="eastAsia" w:ascii="仿宋" w:hAnsi="仿宋" w:eastAsia="仿宋" w:cs="仿宋"/>
          <w:b/>
          <w:kern w:val="2"/>
          <w:sz w:val="24"/>
          <w:szCs w:val="24"/>
          <w:highlight w:val="none"/>
          <w:lang w:val="en-US" w:eastAsia="zh-CN" w:bidi="ar-SA"/>
        </w:rPr>
        <w:t>（十一）</w:t>
      </w:r>
      <w:r>
        <w:rPr>
          <w:rFonts w:hint="eastAsia" w:ascii="仿宋" w:hAnsi="仿宋" w:eastAsia="仿宋" w:cs="仿宋"/>
          <w:b/>
          <w:sz w:val="24"/>
          <w:szCs w:val="24"/>
          <w:highlight w:val="none"/>
        </w:rPr>
        <w:t>中标结果</w:t>
      </w:r>
      <w:bookmarkEnd w:id="95"/>
      <w:bookmarkEnd w:id="96"/>
      <w:bookmarkEnd w:id="97"/>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1.中标结果公告</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1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⑴</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确定中标人后，</w:t>
      </w:r>
      <w:r>
        <w:rPr>
          <w:rFonts w:hint="eastAsia" w:ascii="仿宋" w:hAnsi="仿宋" w:eastAsia="仿宋" w:cs="仿宋"/>
          <w:bCs/>
          <w:sz w:val="24"/>
          <w:szCs w:val="24"/>
          <w:highlight w:val="none"/>
          <w:lang w:val="en-US" w:eastAsia="zh-CN"/>
        </w:rPr>
        <w:t>采购代理机构</w:t>
      </w:r>
      <w:r>
        <w:rPr>
          <w:rFonts w:hint="eastAsia" w:ascii="仿宋" w:hAnsi="仿宋" w:eastAsia="仿宋" w:cs="仿宋"/>
          <w:bCs/>
          <w:sz w:val="24"/>
          <w:szCs w:val="24"/>
          <w:highlight w:val="none"/>
        </w:rPr>
        <w:t>在</w:t>
      </w:r>
      <w:r>
        <w:rPr>
          <w:rFonts w:hint="eastAsia" w:ascii="仿宋" w:hAnsi="仿宋" w:eastAsia="仿宋" w:cs="仿宋"/>
          <w:bCs/>
          <w:color w:val="000000"/>
          <w:sz w:val="24"/>
          <w:szCs w:val="24"/>
          <w:highlight w:val="none"/>
        </w:rPr>
        <w:t>衢州市阳光交易服务平台（https://qzygjy.com/）</w:t>
      </w:r>
      <w:r>
        <w:rPr>
          <w:rFonts w:hint="eastAsia" w:ascii="仿宋" w:hAnsi="仿宋" w:eastAsia="仿宋" w:cs="仿宋"/>
          <w:bCs/>
          <w:sz w:val="24"/>
          <w:szCs w:val="24"/>
          <w:highlight w:val="none"/>
        </w:rPr>
        <w:t xml:space="preserve">上及公告发布的媒体中，进行中标结果公告，公告期限为1个工作日。 </w:t>
      </w:r>
    </w:p>
    <w:p>
      <w:pPr>
        <w:pStyle w:val="23"/>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2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⑵</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中标人因自身原因放弃中标或因不可抗力不能履行合同的，经质疑，采购人审查确定因中标人在本次采购活动中存在违规行为或其他原因使质疑成立的，采购人可以与第二中标候选人签订采购合同</w:t>
      </w:r>
      <w:r>
        <w:rPr>
          <w:rFonts w:hint="eastAsia" w:ascii="仿宋" w:hAnsi="仿宋" w:eastAsia="仿宋" w:cs="仿宋"/>
          <w:bCs/>
          <w:sz w:val="24"/>
          <w:szCs w:val="24"/>
          <w:highlight w:val="none"/>
          <w:lang w:val="en-US" w:eastAsia="zh-CN"/>
        </w:rPr>
        <w:t>或重新组织招标</w:t>
      </w:r>
      <w:r>
        <w:rPr>
          <w:rFonts w:hint="eastAsia" w:ascii="仿宋" w:hAnsi="仿宋" w:eastAsia="仿宋" w:cs="仿宋"/>
          <w:bCs/>
          <w:sz w:val="24"/>
          <w:szCs w:val="24"/>
          <w:highlight w:val="none"/>
        </w:rPr>
        <w:t>；第二中标候选人因自身原因放弃中标或因不可抗力不能履行合同的，经质疑，采购人审查确定因第二中标候选人在本次采购活动中存在违规行为或其他原因使质疑成立的，采购人可以与第三中标候选人签订采购合同或重新组织招标。</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rPr>
        <w:t>2.质疑</w:t>
      </w:r>
      <w:r>
        <w:rPr>
          <w:rFonts w:hint="eastAsia" w:ascii="仿宋" w:hAnsi="仿宋" w:eastAsia="仿宋" w:cs="仿宋"/>
          <w:bCs/>
          <w:sz w:val="24"/>
          <w:szCs w:val="24"/>
          <w:highlight w:val="none"/>
          <w:lang w:val="en-US" w:eastAsia="zh-CN"/>
        </w:rPr>
        <w:t>和投诉</w:t>
      </w:r>
    </w:p>
    <w:p>
      <w:pPr>
        <w:pStyle w:val="23"/>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根据《衢州市国有企业采购管理办法（试行）》（衢国资发【2020】36号）、《中华人民共和国政府采购法》的规定，采购投标人可以依法提起质疑和投诉。</w:t>
      </w:r>
    </w:p>
    <w:p>
      <w:pPr>
        <w:pStyle w:val="23"/>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2.1投标人询问</w:t>
      </w:r>
    </w:p>
    <w:p>
      <w:pPr>
        <w:pStyle w:val="23"/>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投标人对采购活动事项有疑问的，可以向招标代理机构提出询问，招标代理机构在7个工作日内做出答复，但答复的内容不得涉及商业秘密。</w:t>
      </w:r>
    </w:p>
    <w:p>
      <w:pPr>
        <w:pStyle w:val="23"/>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2.2投标人质疑</w:t>
      </w:r>
    </w:p>
    <w:p>
      <w:pPr>
        <w:pStyle w:val="23"/>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2.2.1投标人认为招标文件、采购过程和中标、成交结果使自己的权益</w:t>
      </w:r>
    </w:p>
    <w:p>
      <w:pPr>
        <w:pStyle w:val="23"/>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受到损害的，可以在知道或者应知其权益受到损害之日起七个工作日内，以书面形式向招标代理机构提出质疑。逾期不予受理。</w:t>
      </w:r>
    </w:p>
    <w:p>
      <w:pPr>
        <w:pStyle w:val="23"/>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投标人应知其权益受到损害之日，是指：</w:t>
      </w:r>
    </w:p>
    <w:p>
      <w:pPr>
        <w:pStyle w:val="23"/>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⑴对可以质疑的采购文件提出质疑的，为收到采购文件之日或采购文件公告期限届满之日；</w:t>
      </w:r>
    </w:p>
    <w:p>
      <w:pPr>
        <w:pStyle w:val="23"/>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⑵对采购过程提出质疑的，为各采购程序环节结束之日；</w:t>
      </w:r>
    </w:p>
    <w:p>
      <w:pPr>
        <w:pStyle w:val="23"/>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⑶对中标结果提出质疑的，为中标结果公告期限届满之日。</w:t>
      </w:r>
    </w:p>
    <w:p>
      <w:pPr>
        <w:pStyle w:val="23"/>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2.2.2投标人质疑应当有明确的请求和必要的证明材料，否则视为无效质疑，不予受理。投标人提交的质疑书需一式三份，由法定代表人（负责人）签字（或盖章）并加盖单位公章。质疑书至少应包括下列主要内容：</w:t>
      </w:r>
    </w:p>
    <w:p>
      <w:pPr>
        <w:pStyle w:val="23"/>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⑴质疑人的名称、地址、邮政编码、联系人、联系电话，以及被质疑人名称及联系方式；</w:t>
      </w:r>
    </w:p>
    <w:p>
      <w:pPr>
        <w:pStyle w:val="23"/>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⑵被质疑采购项目名称、编号及采购内容；</w:t>
      </w:r>
    </w:p>
    <w:p>
      <w:pPr>
        <w:pStyle w:val="23"/>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⑶具体的质疑事项及事实依据；</w:t>
      </w:r>
    </w:p>
    <w:p>
      <w:pPr>
        <w:pStyle w:val="23"/>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⑷认为自己合法权益受到损害或可能受到损害的相关证据材料；</w:t>
      </w:r>
    </w:p>
    <w:p>
      <w:pPr>
        <w:pStyle w:val="23"/>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⑸提出质疑的日期。</w:t>
      </w:r>
    </w:p>
    <w:p>
      <w:pPr>
        <w:pStyle w:val="23"/>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2.3招标代理机构应当在收到投标人的书面质疑后七个工作日内作出答复，并以书面形式通知质疑投标人和其他与质疑处理结果有利害关系的采购当事人，但答复的内容不得涉及商业秘密。</w:t>
      </w:r>
    </w:p>
    <w:p>
      <w:pPr>
        <w:pStyle w:val="23"/>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2.4投标人投诉</w:t>
      </w:r>
    </w:p>
    <w:p>
      <w:pPr>
        <w:pStyle w:val="23"/>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质疑人对招标代理机构的答复不满意或者招标代理机构未在规定的时间内作出答复的，可以在答复期满后十五个工作日内向采购人提出投诉，逾期不予受理。质疑人对采购人答复不满意的可以选择根据相关法律法规提起民事诉讼。</w:t>
      </w:r>
    </w:p>
    <w:p>
      <w:pPr>
        <w:pStyle w:val="23"/>
        <w:pageBreakBefore w:val="0"/>
        <w:widowControl w:val="0"/>
        <w:numPr>
          <w:ilvl w:val="0"/>
          <w:numId w:val="0"/>
        </w:numPr>
        <w:kinsoku/>
        <w:wordWrap/>
        <w:overflowPunct/>
        <w:topLinePunct w:val="0"/>
        <w:autoSpaceDN/>
        <w:bidi w:val="0"/>
        <w:adjustRightInd/>
        <w:snapToGrid/>
        <w:spacing w:line="360" w:lineRule="auto"/>
        <w:ind w:left="0" w:leftChars="0" w:firstLine="482" w:firstLineChars="200"/>
        <w:jc w:val="left"/>
        <w:outlineLvl w:val="1"/>
        <w:rPr>
          <w:rFonts w:hint="eastAsia" w:ascii="仿宋" w:hAnsi="仿宋" w:eastAsia="仿宋" w:cs="仿宋"/>
          <w:b/>
          <w:sz w:val="24"/>
          <w:szCs w:val="24"/>
          <w:highlight w:val="none"/>
        </w:rPr>
      </w:pPr>
      <w:r>
        <w:rPr>
          <w:rFonts w:hint="eastAsia" w:ascii="仿宋" w:hAnsi="仿宋" w:eastAsia="仿宋" w:cs="仿宋"/>
          <w:b/>
          <w:kern w:val="2"/>
          <w:sz w:val="24"/>
          <w:szCs w:val="24"/>
          <w:highlight w:val="none"/>
          <w:lang w:val="en-US" w:eastAsia="zh-CN" w:bidi="ar-SA"/>
        </w:rPr>
        <w:t>（十二）</w:t>
      </w:r>
      <w:r>
        <w:rPr>
          <w:rFonts w:hint="eastAsia" w:ascii="仿宋" w:hAnsi="仿宋" w:eastAsia="仿宋" w:cs="仿宋"/>
          <w:b/>
          <w:sz w:val="24"/>
          <w:szCs w:val="24"/>
          <w:highlight w:val="none"/>
        </w:rPr>
        <w:t>法律责任</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1.投标人有下列情形之一的</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将上报相关监管部门</w:t>
      </w:r>
      <w:r>
        <w:rPr>
          <w:rFonts w:hint="eastAsia" w:ascii="仿宋" w:hAnsi="仿宋" w:eastAsia="仿宋" w:cs="仿宋"/>
          <w:bCs/>
          <w:sz w:val="24"/>
          <w:szCs w:val="24"/>
          <w:highlight w:val="none"/>
        </w:rPr>
        <w:t>处以采购项目中标金额千分之五以上千分之十以下的罚款</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列入不良行为记录名单</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在一至三年内禁止参加采购活动</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并予以公告</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有违法所得的</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并处没收违法所得</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情节严重的</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由工商行政管理机关吊销营业执照</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构成犯罪的</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依法追究刑事责任</w:t>
      </w:r>
      <w:r>
        <w:rPr>
          <w:rFonts w:hint="eastAsia" w:ascii="仿宋" w:hAnsi="仿宋" w:eastAsia="仿宋" w:cs="仿宋"/>
          <w:bCs/>
          <w:sz w:val="24"/>
          <w:szCs w:val="24"/>
          <w:highlight w:val="none"/>
          <w:lang w:eastAsia="zh-CN"/>
        </w:rPr>
        <w:t>：</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1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⑴</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提供虚假材料谋取中标的</w:t>
      </w:r>
      <w:r>
        <w:rPr>
          <w:rFonts w:hint="eastAsia" w:ascii="仿宋" w:hAnsi="仿宋" w:eastAsia="仿宋" w:cs="仿宋"/>
          <w:bCs/>
          <w:sz w:val="24"/>
          <w:szCs w:val="24"/>
          <w:highlight w:val="none"/>
          <w:lang w:eastAsia="zh-CN"/>
        </w:rPr>
        <w:t>；</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2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⑵</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采取不正当手段诋毁、排挤其他投标人的</w:t>
      </w:r>
      <w:r>
        <w:rPr>
          <w:rFonts w:hint="eastAsia" w:ascii="仿宋" w:hAnsi="仿宋" w:eastAsia="仿宋" w:cs="仿宋"/>
          <w:bCs/>
          <w:sz w:val="24"/>
          <w:szCs w:val="24"/>
          <w:highlight w:val="none"/>
          <w:lang w:eastAsia="zh-CN"/>
        </w:rPr>
        <w:t>；</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3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⑶</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与采购人、采购代理机构、其他投标人恶意串通的</w:t>
      </w:r>
      <w:r>
        <w:rPr>
          <w:rFonts w:hint="eastAsia" w:ascii="仿宋" w:hAnsi="仿宋" w:eastAsia="仿宋" w:cs="仿宋"/>
          <w:bCs/>
          <w:sz w:val="24"/>
          <w:szCs w:val="24"/>
          <w:highlight w:val="none"/>
          <w:lang w:eastAsia="zh-CN"/>
        </w:rPr>
        <w:t>；</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4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⑷</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向采购人、采购代理机构行贿或者提供其他不正当利益的</w:t>
      </w:r>
      <w:r>
        <w:rPr>
          <w:rFonts w:hint="eastAsia" w:ascii="仿宋" w:hAnsi="仿宋" w:eastAsia="仿宋" w:cs="仿宋"/>
          <w:bCs/>
          <w:sz w:val="24"/>
          <w:szCs w:val="24"/>
          <w:highlight w:val="none"/>
          <w:lang w:eastAsia="zh-CN"/>
        </w:rPr>
        <w:t>；</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5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⑸</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在开标过程中与采购人进行协商谈判、不按照</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和中标人的投标文件订立合同</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或者与采购人另行订立背离合同实质性内容的协议的</w:t>
      </w:r>
      <w:r>
        <w:rPr>
          <w:rFonts w:hint="eastAsia" w:ascii="仿宋" w:hAnsi="仿宋" w:eastAsia="仿宋" w:cs="仿宋"/>
          <w:bCs/>
          <w:sz w:val="24"/>
          <w:szCs w:val="24"/>
          <w:highlight w:val="none"/>
          <w:lang w:eastAsia="zh-CN"/>
        </w:rPr>
        <w:t>；</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6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⑹</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拒绝有关部门监督检查或者提供虚假情况的；</w:t>
      </w:r>
    </w:p>
    <w:p>
      <w:pPr>
        <w:pStyle w:val="23"/>
        <w:pageBreakBefore w:val="0"/>
        <w:widowControl w:val="0"/>
        <w:numPr>
          <w:ilvl w:val="0"/>
          <w:numId w:val="0"/>
        </w:numPr>
        <w:kinsoku/>
        <w:wordWrap/>
        <w:overflowPunct/>
        <w:topLinePunct w:val="0"/>
        <w:autoSpaceDN/>
        <w:bidi w:val="0"/>
        <w:adjustRightInd/>
        <w:snapToGrid/>
        <w:spacing w:line="360" w:lineRule="auto"/>
        <w:ind w:left="0" w:leftChars="0" w:firstLine="482" w:firstLineChars="200"/>
        <w:jc w:val="left"/>
        <w:outlineLvl w:val="1"/>
        <w:rPr>
          <w:rFonts w:hint="eastAsia" w:ascii="仿宋" w:hAnsi="仿宋" w:eastAsia="仿宋" w:cs="仿宋"/>
          <w:b/>
          <w:sz w:val="24"/>
          <w:szCs w:val="24"/>
          <w:highlight w:val="none"/>
        </w:rPr>
      </w:pPr>
      <w:r>
        <w:rPr>
          <w:rFonts w:hint="eastAsia" w:ascii="仿宋" w:hAnsi="仿宋" w:eastAsia="仿宋" w:cs="仿宋"/>
          <w:b/>
          <w:kern w:val="2"/>
          <w:sz w:val="24"/>
          <w:szCs w:val="24"/>
          <w:highlight w:val="none"/>
          <w:lang w:val="en-US" w:eastAsia="zh-CN" w:bidi="ar-SA"/>
        </w:rPr>
        <w:t>（十三）</w:t>
      </w:r>
      <w:r>
        <w:rPr>
          <w:rFonts w:hint="eastAsia" w:ascii="仿宋" w:hAnsi="仿宋" w:eastAsia="仿宋" w:cs="仿宋"/>
          <w:b/>
          <w:sz w:val="24"/>
          <w:szCs w:val="24"/>
          <w:highlight w:val="none"/>
        </w:rPr>
        <w:t>授予合同签订资格</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1.中标通知书</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1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⑴</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在公告中标结果的同时，采购人或者采购代理机构应当向中标人发出中标通知书</w:t>
      </w:r>
      <w:r>
        <w:rPr>
          <w:rFonts w:hint="eastAsia" w:ascii="仿宋" w:hAnsi="仿宋" w:eastAsia="仿宋" w:cs="仿宋"/>
          <w:bCs/>
          <w:sz w:val="24"/>
          <w:szCs w:val="24"/>
          <w:highlight w:val="none"/>
          <w:lang w:eastAsia="zh-CN"/>
        </w:rPr>
        <w:t>。</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2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⑵</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中标通知书是</w:t>
      </w:r>
      <w:r>
        <w:rPr>
          <w:rFonts w:hint="eastAsia" w:ascii="仿宋" w:hAnsi="仿宋" w:eastAsia="仿宋" w:cs="仿宋"/>
          <w:bCs/>
          <w:sz w:val="24"/>
          <w:szCs w:val="24"/>
          <w:highlight w:val="none"/>
          <w:lang w:val="en-US" w:eastAsia="zh-CN"/>
        </w:rPr>
        <w:t>中标人</w:t>
      </w:r>
      <w:r>
        <w:rPr>
          <w:rFonts w:hint="eastAsia" w:ascii="仿宋" w:hAnsi="仿宋" w:eastAsia="仿宋" w:cs="仿宋"/>
          <w:bCs/>
          <w:sz w:val="24"/>
          <w:szCs w:val="24"/>
          <w:highlight w:val="none"/>
        </w:rPr>
        <w:t>与采购人签订合同的凭证，是授予合同签订资格的合法依据。</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ascii="仿宋" w:hAnsi="仿宋" w:eastAsia="仿宋" w:cs="仿宋"/>
          <w:bCs/>
          <w:color w:val="000000"/>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3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sz w:val="24"/>
          <w:szCs w:val="24"/>
          <w:highlight w:val="none"/>
        </w:rPr>
        <w:t>⑶</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000000"/>
          <w:sz w:val="24"/>
          <w:szCs w:val="24"/>
          <w:highlight w:val="none"/>
        </w:rPr>
        <w:t>中标通知书发出后，采购人不得违法改变中标结果，中标人无正当理由不得放弃中标。</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⑷中标人按《中标通知书》指定的时间、地点与采购人直接签订合同后生效。在有合理证据证明中标人在投标过程中承诺的内容不能实质响应的，采购人有权拒签合同。</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2.合同的签订</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 1 \* GB2 \* MERGEFORMAT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⑴</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t>采购人应当自中标通知书发出之日起30日内，按照</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和中标人投标文件的规定，与中标人签订书面合同。所签订的合同不得对</w:t>
      </w:r>
      <w:r>
        <w:rPr>
          <w:rFonts w:hint="eastAsia" w:ascii="仿宋" w:hAnsi="仿宋" w:eastAsia="仿宋" w:cs="仿宋"/>
          <w:bCs/>
          <w:sz w:val="24"/>
          <w:szCs w:val="24"/>
          <w:highlight w:val="none"/>
          <w:lang w:eastAsia="zh-CN"/>
        </w:rPr>
        <w:t>采购文件</w:t>
      </w:r>
      <w:r>
        <w:rPr>
          <w:rFonts w:hint="eastAsia" w:ascii="仿宋" w:hAnsi="仿宋" w:eastAsia="仿宋" w:cs="仿宋"/>
          <w:bCs/>
          <w:sz w:val="24"/>
          <w:szCs w:val="24"/>
          <w:highlight w:val="none"/>
        </w:rPr>
        <w:t>确定的事项和中标人投标文件作实质性修改。</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color w:val="auto"/>
          <w:sz w:val="24"/>
          <w:szCs w:val="24"/>
          <w:highlight w:val="none"/>
        </w:rPr>
        <w:t>⑵</w:t>
      </w:r>
      <w:r>
        <w:rPr>
          <w:rFonts w:hint="eastAsia" w:ascii="仿宋" w:hAnsi="仿宋" w:eastAsia="仿宋" w:cs="仿宋"/>
          <w:bCs/>
          <w:sz w:val="24"/>
          <w:szCs w:val="24"/>
          <w:highlight w:val="none"/>
        </w:rPr>
        <w:t>采购合同应当包括采购人与中标人的名称和住所、标的、数量、质量、价款或者报酬、履行期限及地点和方式、验收要求、违约责任、解决争议的方法等内容。</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⑶</w:t>
      </w:r>
      <w:r>
        <w:rPr>
          <w:rFonts w:hint="eastAsia" w:ascii="仿宋" w:hAnsi="仿宋" w:eastAsia="仿宋" w:cs="仿宋"/>
          <w:bCs/>
          <w:sz w:val="24"/>
          <w:szCs w:val="24"/>
          <w:highlight w:val="none"/>
          <w:lang w:eastAsia="zh-CN"/>
        </w:rPr>
        <w:t>招标文件、澄清文件、投标文件等，均为签订合同的依据。中标人接到中标通知书后在规定的时间内与采购人签订合同。</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highlight w:val="none"/>
        </w:rPr>
      </w:pPr>
      <w:r>
        <w:rPr>
          <w:rFonts w:hint="eastAsia" w:ascii="仿宋" w:hAnsi="仿宋" w:eastAsia="仿宋" w:cs="仿宋"/>
          <w:bCs/>
          <w:sz w:val="24"/>
          <w:szCs w:val="24"/>
          <w:highlight w:val="none"/>
        </w:rPr>
        <w:t>⑷</w:t>
      </w:r>
      <w:r>
        <w:rPr>
          <w:rFonts w:hint="eastAsia" w:ascii="仿宋" w:hAnsi="仿宋" w:eastAsia="仿宋" w:cs="仿宋"/>
          <w:bCs/>
          <w:sz w:val="24"/>
          <w:szCs w:val="24"/>
          <w:highlight w:val="none"/>
          <w:lang w:eastAsia="zh-CN"/>
        </w:rPr>
        <w:t>中标人不遵守投标文件的要约、承诺，擅自修改投标文件的内容或在接到中标通知书规定的时间内，借故拖延、拒签合同者，采购人将取消该投标人的中标资格。</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⑸采购人与中标人应当根据合同的约定依法履行合同义务。</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⑹</w:t>
      </w:r>
      <w:r>
        <w:rPr>
          <w:rFonts w:hint="eastAsia" w:ascii="仿宋" w:hAnsi="仿宋" w:eastAsia="仿宋" w:cs="仿宋"/>
          <w:bCs/>
          <w:sz w:val="24"/>
          <w:szCs w:val="24"/>
          <w:highlight w:val="none"/>
        </w:rPr>
        <w:t>采购合同的履行、违约责任和解决争议的方法等适用中华人民共和国民法典。</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⑺</w:t>
      </w:r>
      <w:r>
        <w:rPr>
          <w:rFonts w:hint="eastAsia" w:ascii="仿宋" w:hAnsi="仿宋" w:eastAsia="仿宋" w:cs="仿宋"/>
          <w:bCs/>
          <w:sz w:val="24"/>
          <w:szCs w:val="24"/>
          <w:highlight w:val="none"/>
        </w:rPr>
        <w:t>中标人应当按照合同约定履行义务完成项目</w:t>
      </w:r>
      <w:r>
        <w:rPr>
          <w:rFonts w:hint="eastAsia" w:ascii="仿宋" w:hAnsi="仿宋" w:eastAsia="仿宋" w:cs="仿宋"/>
          <w:bCs/>
          <w:sz w:val="24"/>
          <w:szCs w:val="24"/>
          <w:highlight w:val="none"/>
          <w:lang w:eastAsia="zh-CN"/>
        </w:rPr>
        <w:t>。</w:t>
      </w:r>
    </w:p>
    <w:p>
      <w:pPr>
        <w:spacing w:line="360" w:lineRule="auto"/>
        <w:ind w:firstLine="480" w:firstLineChars="200"/>
        <w:jc w:val="left"/>
        <w:rPr>
          <w:rFonts w:hint="eastAsia" w:ascii="仿宋" w:hAnsi="仿宋" w:eastAsia="仿宋" w:cs="仿宋"/>
          <w:bCs/>
          <w:color w:val="auto"/>
          <w:sz w:val="24"/>
          <w:szCs w:val="24"/>
          <w:highlight w:val="none"/>
          <w:lang w:eastAsia="zh-CN"/>
        </w:rPr>
      </w:pPr>
      <w:r>
        <w:rPr>
          <w:rFonts w:hint="eastAsia" w:ascii="仿宋" w:hAnsi="仿宋" w:eastAsia="仿宋" w:cs="仿宋"/>
          <w:bCs/>
          <w:sz w:val="24"/>
          <w:szCs w:val="24"/>
          <w:highlight w:val="none"/>
        </w:rPr>
        <w:t>3.代理服务费</w:t>
      </w:r>
      <w:r>
        <w:rPr>
          <w:rFonts w:hint="eastAsia" w:ascii="仿宋" w:hAnsi="仿宋" w:eastAsia="仿宋" w:cs="仿宋"/>
          <w:bCs/>
          <w:color w:val="auto"/>
          <w:sz w:val="24"/>
          <w:szCs w:val="24"/>
          <w:highlight w:val="none"/>
        </w:rPr>
        <w:t>及其他费用</w:t>
      </w: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sz w:val="24"/>
          <w:szCs w:val="24"/>
          <w:highlight w:val="none"/>
        </w:rPr>
        <w:t>以人民币元收取</w:t>
      </w:r>
      <w:r>
        <w:rPr>
          <w:rFonts w:hint="eastAsia" w:ascii="仿宋" w:hAnsi="仿宋" w:eastAsia="仿宋" w:cs="仿宋"/>
          <w:bCs/>
          <w:color w:val="auto"/>
          <w:sz w:val="24"/>
          <w:szCs w:val="24"/>
          <w:highlight w:val="none"/>
          <w:lang w:eastAsia="zh-CN"/>
        </w:rPr>
        <w:t>）</w:t>
      </w:r>
    </w:p>
    <w:p>
      <w:pPr>
        <w:pageBreakBefore w:val="0"/>
        <w:widowControl w:val="0"/>
        <w:kinsoku/>
        <w:wordWrap/>
        <w:overflowPunct/>
        <w:topLinePunct w:val="0"/>
        <w:autoSpaceDN/>
        <w:bidi w:val="0"/>
        <w:adjustRightInd/>
        <w:snapToGrid/>
        <w:spacing w:line="360" w:lineRule="auto"/>
        <w:ind w:firstLine="480" w:firstLineChars="200"/>
        <w:rPr>
          <w:rFonts w:hint="eastAsia" w:ascii="仿宋" w:hAnsi="仿宋" w:eastAsia="仿宋" w:cs="仿宋"/>
          <w:color w:val="auto"/>
          <w:sz w:val="24"/>
          <w:szCs w:val="24"/>
          <w:highlight w:val="none"/>
        </w:rPr>
      </w:pPr>
      <w:bookmarkStart w:id="98" w:name="_Hlk47305225"/>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color w:val="auto"/>
          <w:sz w:val="24"/>
          <w:szCs w:val="24"/>
          <w:highlight w:val="none"/>
        </w:rPr>
        <w:instrText xml:space="preserve"> = 1 \* GB2 \* MERGEFORMAT </w:instrText>
      </w:r>
      <w:r>
        <w:rPr>
          <w:rFonts w:hint="eastAsia" w:ascii="仿宋" w:hAnsi="仿宋" w:eastAsia="仿宋" w:cs="仿宋"/>
          <w:bCs w:val="0"/>
          <w:color w:val="auto"/>
          <w:sz w:val="24"/>
          <w:szCs w:val="24"/>
          <w:highlight w:val="none"/>
        </w:rPr>
        <w:fldChar w:fldCharType="separate"/>
      </w:r>
      <w:r>
        <w:rPr>
          <w:rFonts w:hint="eastAsia" w:ascii="仿宋" w:hAnsi="仿宋" w:eastAsia="仿宋" w:cs="仿宋"/>
          <w:bCs w:val="0"/>
          <w:color w:val="auto"/>
          <w:sz w:val="24"/>
          <w:szCs w:val="24"/>
          <w:highlight w:val="none"/>
        </w:rPr>
        <w:t>⑴</w:t>
      </w:r>
      <w:r>
        <w:rPr>
          <w:rFonts w:hint="eastAsia" w:ascii="仿宋" w:hAnsi="仿宋" w:eastAsia="仿宋" w:cs="仿宋"/>
          <w:bCs w:val="0"/>
          <w:color w:val="auto"/>
          <w:sz w:val="24"/>
          <w:szCs w:val="24"/>
          <w:highlight w:val="none"/>
        </w:rPr>
        <w:fldChar w:fldCharType="end"/>
      </w:r>
      <w:r>
        <w:rPr>
          <w:rFonts w:hint="eastAsia" w:ascii="仿宋" w:hAnsi="仿宋" w:eastAsia="仿宋" w:cs="仿宋"/>
          <w:color w:val="auto"/>
          <w:sz w:val="24"/>
          <w:szCs w:val="24"/>
          <w:highlight w:val="none"/>
        </w:rPr>
        <w:t>代理服务费</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预算费和</w:t>
      </w:r>
      <w:r>
        <w:rPr>
          <w:rFonts w:hint="eastAsia" w:ascii="仿宋" w:hAnsi="仿宋" w:eastAsia="仿宋" w:cs="仿宋"/>
          <w:color w:val="auto"/>
          <w:sz w:val="24"/>
          <w:szCs w:val="24"/>
          <w:highlight w:val="none"/>
        </w:rPr>
        <w:t>评审费由</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支付给代理机构</w:t>
      </w:r>
      <w:r>
        <w:rPr>
          <w:rFonts w:hint="eastAsia" w:ascii="仿宋" w:hAnsi="仿宋" w:eastAsia="仿宋" w:cs="仿宋"/>
          <w:color w:val="auto"/>
          <w:sz w:val="24"/>
          <w:szCs w:val="24"/>
          <w:highlight w:val="none"/>
          <w:lang w:eastAsia="zh-CN"/>
        </w:rPr>
        <w:t>。</w:t>
      </w:r>
    </w:p>
    <w:p>
      <w:pPr>
        <w:pageBreakBefore w:val="0"/>
        <w:widowControl w:val="0"/>
        <w:kinsoku/>
        <w:wordWrap/>
        <w:overflowPunct/>
        <w:topLinePunct w:val="0"/>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GB3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本次采购代理服务费按国家标准《计价格【2002】1980号文件》的</w:t>
      </w:r>
      <w:r>
        <w:rPr>
          <w:rFonts w:hint="eastAsia" w:ascii="仿宋" w:hAnsi="仿宋" w:eastAsia="仿宋" w:cs="仿宋"/>
          <w:color w:val="auto"/>
          <w:sz w:val="24"/>
          <w:szCs w:val="24"/>
          <w:highlight w:val="none"/>
          <w:lang w:val="en-US" w:eastAsia="zh-CN"/>
        </w:rPr>
        <w:t>61.47</w:t>
      </w:r>
      <w:r>
        <w:rPr>
          <w:rFonts w:hint="eastAsia" w:ascii="仿宋" w:hAnsi="仿宋" w:eastAsia="仿宋" w:cs="仿宋"/>
          <w:color w:val="auto"/>
          <w:sz w:val="24"/>
          <w:szCs w:val="24"/>
          <w:highlight w:val="none"/>
        </w:rPr>
        <w:t>%计取，按</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招标计算，不足2000元按2000元计算，由</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领取中标通知书之前支付给采</w:t>
      </w:r>
      <w:r>
        <w:rPr>
          <w:rFonts w:hint="eastAsia" w:ascii="仿宋" w:hAnsi="仿宋" w:eastAsia="仿宋" w:cs="仿宋"/>
          <w:color w:val="auto"/>
          <w:spacing w:val="-4"/>
          <w:sz w:val="24"/>
          <w:szCs w:val="24"/>
          <w:highlight w:val="none"/>
        </w:rPr>
        <w:t>购</w:t>
      </w:r>
      <w:r>
        <w:rPr>
          <w:rFonts w:hint="eastAsia" w:ascii="仿宋" w:hAnsi="仿宋" w:eastAsia="仿宋" w:cs="仿宋"/>
          <w:color w:val="auto"/>
          <w:sz w:val="24"/>
          <w:szCs w:val="24"/>
          <w:highlight w:val="none"/>
        </w:rPr>
        <w:t>代理机构。收费标准如下：</w:t>
      </w:r>
    </w:p>
    <w:p>
      <w:pPr>
        <w:pageBreakBefore w:val="0"/>
        <w:widowControl w:val="0"/>
        <w:kinsoku/>
        <w:wordWrap/>
        <w:overflowPunct/>
        <w:topLinePunct w:val="0"/>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drawing>
          <wp:anchor distT="0" distB="0" distL="114300" distR="114300" simplePos="0" relativeHeight="251659264" behindDoc="1" locked="0" layoutInCell="1" allowOverlap="1">
            <wp:simplePos x="0" y="0"/>
            <wp:positionH relativeFrom="column">
              <wp:posOffset>138430</wp:posOffset>
            </wp:positionH>
            <wp:positionV relativeFrom="paragraph">
              <wp:posOffset>71120</wp:posOffset>
            </wp:positionV>
            <wp:extent cx="5398135" cy="2266315"/>
            <wp:effectExtent l="0" t="0" r="12065" b="0"/>
            <wp:wrapTight wrapText="bothSides">
              <wp:wrapPolygon>
                <wp:start x="0" y="0"/>
                <wp:lineTo x="0" y="21424"/>
                <wp:lineTo x="21496" y="21424"/>
                <wp:lineTo x="21496" y="0"/>
                <wp:lineTo x="0" y="0"/>
              </wp:wrapPolygon>
            </wp:wrapTight>
            <wp:docPr id="1" name="图片 2" descr="{DF$%WEWBEQTKGK@8J019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F$%WEWBEQTKGK@8J019OJ"/>
                    <pic:cNvPicPr>
                      <a:picLocks noChangeAspect="1"/>
                    </pic:cNvPicPr>
                  </pic:nvPicPr>
                  <pic:blipFill>
                    <a:blip r:embed="rId12"/>
                    <a:stretch>
                      <a:fillRect/>
                    </a:stretch>
                  </pic:blipFill>
                  <pic:spPr>
                    <a:xfrm>
                      <a:off x="0" y="0"/>
                      <a:ext cx="5398135" cy="2266315"/>
                    </a:xfrm>
                    <a:prstGeom prst="rect">
                      <a:avLst/>
                    </a:prstGeom>
                    <a:noFill/>
                    <a:ln>
                      <a:noFill/>
                    </a:ln>
                  </pic:spPr>
                </pic:pic>
              </a:graphicData>
            </a:graphic>
          </wp:anchor>
        </w:drawing>
      </w:r>
    </w:p>
    <w:p>
      <w:pPr>
        <w:pStyle w:val="5"/>
        <w:pageBreakBefore w:val="0"/>
        <w:widowControl w:val="0"/>
        <w:numPr>
          <w:ilvl w:val="1"/>
          <w:numId w:val="0"/>
        </w:numPr>
        <w:kinsoku/>
        <w:wordWrap/>
        <w:overflowPunct/>
        <w:topLinePunct w:val="0"/>
        <w:autoSpaceDN/>
        <w:bidi w:val="0"/>
        <w:adjustRightInd/>
        <w:snapToGrid/>
        <w:spacing w:before="0" w:after="0" w:line="360" w:lineRule="auto"/>
        <w:ind w:firstLine="482"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widowControl w:val="0"/>
        <w:kinsoku/>
        <w:wordWrap/>
        <w:overflowPunct/>
        <w:topLinePunct w:val="0"/>
        <w:autoSpaceDN/>
        <w:bidi w:val="0"/>
        <w:adjustRightInd/>
        <w:snapToGrid/>
        <w:spacing w:line="360" w:lineRule="auto"/>
        <w:ind w:firstLine="480" w:firstLineChars="200"/>
        <w:rPr>
          <w:rFonts w:hint="eastAsia" w:ascii="仿宋" w:hAnsi="仿宋" w:eastAsia="仿宋" w:cs="仿宋"/>
          <w:sz w:val="24"/>
          <w:szCs w:val="24"/>
          <w:highlight w:val="none"/>
        </w:rPr>
      </w:pPr>
    </w:p>
    <w:p>
      <w:pPr>
        <w:pageBreakBefore w:val="0"/>
        <w:widowControl w:val="0"/>
        <w:kinsoku/>
        <w:wordWrap/>
        <w:overflowPunct/>
        <w:topLinePunct w:val="0"/>
        <w:autoSpaceDN/>
        <w:bidi w:val="0"/>
        <w:adjustRightInd/>
        <w:snapToGrid/>
        <w:spacing w:line="360" w:lineRule="auto"/>
        <w:ind w:firstLine="480" w:firstLineChars="200"/>
        <w:rPr>
          <w:rFonts w:hint="eastAsia" w:ascii="仿宋" w:hAnsi="仿宋" w:eastAsia="仿宋" w:cs="仿宋"/>
          <w:sz w:val="24"/>
          <w:szCs w:val="24"/>
          <w:highlight w:val="none"/>
        </w:rPr>
      </w:pPr>
    </w:p>
    <w:p>
      <w:pPr>
        <w:pageBreakBefore w:val="0"/>
        <w:widowControl w:val="0"/>
        <w:kinsoku/>
        <w:wordWrap/>
        <w:overflowPunct/>
        <w:topLinePunct w:val="0"/>
        <w:autoSpaceDN/>
        <w:bidi w:val="0"/>
        <w:adjustRightInd/>
        <w:snapToGrid/>
        <w:spacing w:line="360" w:lineRule="auto"/>
        <w:ind w:firstLine="464" w:firstLineChars="200"/>
        <w:rPr>
          <w:rFonts w:hint="eastAsia" w:ascii="仿宋" w:hAnsi="仿宋" w:eastAsia="仿宋" w:cs="仿宋"/>
          <w:spacing w:val="-4"/>
          <w:sz w:val="24"/>
          <w:szCs w:val="24"/>
          <w:highlight w:val="none"/>
        </w:rPr>
      </w:pPr>
    </w:p>
    <w:p>
      <w:pPr>
        <w:pageBreakBefore w:val="0"/>
        <w:widowControl w:val="0"/>
        <w:kinsoku/>
        <w:wordWrap/>
        <w:overflowPunct/>
        <w:topLinePunct w:val="0"/>
        <w:autoSpaceDN/>
        <w:bidi w:val="0"/>
        <w:adjustRightInd/>
        <w:snapToGrid/>
        <w:spacing w:line="360" w:lineRule="auto"/>
        <w:ind w:firstLine="480" w:firstLineChars="200"/>
        <w:rPr>
          <w:rFonts w:hint="eastAsia" w:ascii="仿宋" w:hAnsi="仿宋" w:eastAsia="仿宋" w:cs="仿宋"/>
          <w:sz w:val="24"/>
          <w:szCs w:val="24"/>
          <w:highlight w:val="none"/>
        </w:rPr>
      </w:pPr>
    </w:p>
    <w:p>
      <w:pPr>
        <w:pageBreakBefore w:val="0"/>
        <w:widowControl w:val="0"/>
        <w:kinsoku/>
        <w:wordWrap/>
        <w:overflowPunct/>
        <w:topLinePunct w:val="0"/>
        <w:autoSpaceDN/>
        <w:bidi w:val="0"/>
        <w:adjustRightInd/>
        <w:snapToGrid/>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2 \* GB3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②</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t>评审费按实计取，由</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领取中标通知书时将这笔费用支付给</w:t>
      </w:r>
      <w:r>
        <w:rPr>
          <w:rFonts w:hint="eastAsia" w:ascii="仿宋" w:hAnsi="仿宋" w:eastAsia="仿宋" w:cs="仿宋"/>
          <w:color w:val="auto"/>
          <w:spacing w:val="-4"/>
          <w:sz w:val="24"/>
          <w:szCs w:val="24"/>
          <w:highlight w:val="none"/>
        </w:rPr>
        <w:t>采购</w:t>
      </w:r>
      <w:r>
        <w:rPr>
          <w:rFonts w:hint="eastAsia" w:ascii="仿宋" w:hAnsi="仿宋" w:eastAsia="仿宋" w:cs="仿宋"/>
          <w:color w:val="auto"/>
          <w:sz w:val="24"/>
          <w:szCs w:val="24"/>
          <w:highlight w:val="none"/>
        </w:rPr>
        <w:t>代理机构</w:t>
      </w:r>
      <w:r>
        <w:rPr>
          <w:rFonts w:hint="eastAsia" w:ascii="仿宋" w:hAnsi="仿宋" w:eastAsia="仿宋" w:cs="仿宋"/>
          <w:color w:val="auto"/>
          <w:sz w:val="24"/>
          <w:szCs w:val="24"/>
          <w:highlight w:val="none"/>
          <w:lang w:eastAsia="zh-CN"/>
        </w:rPr>
        <w:t>。</w:t>
      </w:r>
    </w:p>
    <w:p>
      <w:pPr>
        <w:pageBreakBefore w:val="0"/>
        <w:widowControl w:val="0"/>
        <w:kinsoku/>
        <w:wordWrap/>
        <w:overflowPunct/>
        <w:topLinePunct w:val="0"/>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账户名称：衢州市两山工程咨询管理有限公司</w:t>
      </w:r>
    </w:p>
    <w:p>
      <w:pPr>
        <w:pageBreakBefore w:val="0"/>
        <w:widowControl w:val="0"/>
        <w:kinsoku/>
        <w:wordWrap/>
        <w:overflowPunct/>
        <w:topLinePunct w:val="0"/>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账户号码：901000120190028568</w:t>
      </w:r>
    </w:p>
    <w:p>
      <w:pPr>
        <w:pageBreakBefore w:val="0"/>
        <w:widowControl w:val="0"/>
        <w:kinsoku/>
        <w:wordWrap/>
        <w:overflowPunct/>
        <w:topLinePunct w:val="0"/>
        <w:autoSpaceDN/>
        <w:bidi w:val="0"/>
        <w:adjustRightInd/>
        <w:snapToGrid/>
        <w:spacing w:line="360" w:lineRule="auto"/>
        <w:ind w:firstLine="480" w:firstLineChars="200"/>
        <w:outlineLvl w:val="3"/>
        <w:rPr>
          <w:rFonts w:hint="eastAsia" w:ascii="仿宋" w:hAnsi="仿宋" w:eastAsia="仿宋" w:cs="仿宋"/>
          <w:sz w:val="24"/>
          <w:szCs w:val="24"/>
          <w:highlight w:val="none"/>
        </w:rPr>
      </w:pPr>
      <w:r>
        <w:rPr>
          <w:rFonts w:hint="eastAsia" w:ascii="仿宋" w:hAnsi="仿宋" w:eastAsia="仿宋" w:cs="仿宋"/>
          <w:sz w:val="24"/>
          <w:szCs w:val="24"/>
          <w:highlight w:val="none"/>
        </w:rPr>
        <w:t>开户银行：温州银行衢州分行</w:t>
      </w:r>
    </w:p>
    <w:p>
      <w:pPr>
        <w:pageBreakBefore w:val="0"/>
        <w:widowControl w:val="0"/>
        <w:kinsoku/>
        <w:wordWrap/>
        <w:overflowPunct/>
        <w:topLinePunct w:val="0"/>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2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⑵</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本次采购进场交易费用：项</w:t>
      </w:r>
      <w:r>
        <w:rPr>
          <w:rFonts w:hint="eastAsia" w:ascii="仿宋" w:hAnsi="仿宋" w:eastAsia="仿宋" w:cs="仿宋"/>
          <w:color w:val="auto"/>
          <w:sz w:val="24"/>
          <w:szCs w:val="24"/>
          <w:highlight w:val="none"/>
        </w:rPr>
        <w:t>目的进场交易服务费（100%）由</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支付给产权交易中心。根据衢州市产权交易中心有限公司</w:t>
      </w:r>
      <w:r>
        <w:rPr>
          <w:rFonts w:hint="eastAsia" w:ascii="仿宋" w:hAnsi="仿宋" w:eastAsia="仿宋" w:cs="仿宋"/>
          <w:sz w:val="24"/>
          <w:szCs w:val="24"/>
          <w:highlight w:val="none"/>
        </w:rPr>
        <w:t>国有企业采购进场交易费用收费标准执行。对公汇入以下账户，并备注项目名称（若个人汇入需写代缴说明加盖公章）</w:t>
      </w:r>
      <w:r>
        <w:rPr>
          <w:rFonts w:hint="eastAsia" w:ascii="仿宋" w:hAnsi="仿宋" w:eastAsia="仿宋" w:cs="仿宋"/>
          <w:sz w:val="24"/>
          <w:szCs w:val="24"/>
          <w:highlight w:val="none"/>
          <w:lang w:val="en-US" w:eastAsia="zh-CN"/>
        </w:rPr>
        <w:t>。</w:t>
      </w:r>
    </w:p>
    <w:p>
      <w:pPr>
        <w:pageBreakBefore w:val="0"/>
        <w:widowControl w:val="0"/>
        <w:kinsoku/>
        <w:wordWrap/>
        <w:overflowPunct/>
        <w:topLinePunct w:val="0"/>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账户名称：衢州市产权交易中心有限公司</w:t>
      </w:r>
    </w:p>
    <w:p>
      <w:pPr>
        <w:pageBreakBefore w:val="0"/>
        <w:widowControl w:val="0"/>
        <w:kinsoku/>
        <w:wordWrap/>
        <w:overflowPunct/>
        <w:topLinePunct w:val="0"/>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账户号码：1209210009049028267</w:t>
      </w:r>
    </w:p>
    <w:p>
      <w:pPr>
        <w:pageBreakBefore w:val="0"/>
        <w:widowControl w:val="0"/>
        <w:kinsoku/>
        <w:wordWrap/>
        <w:overflowPunct/>
        <w:topLinePunct w:val="0"/>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开户银行：中国工商银行股份有限公司衢州南湖支行</w:t>
      </w:r>
    </w:p>
    <w:tbl>
      <w:tblPr>
        <w:tblStyle w:val="16"/>
        <w:tblW w:w="9038" w:type="dxa"/>
        <w:jc w:val="center"/>
        <w:tblLayout w:type="fixed"/>
        <w:tblCellMar>
          <w:top w:w="0" w:type="dxa"/>
          <w:left w:w="0" w:type="dxa"/>
          <w:bottom w:w="0" w:type="dxa"/>
          <w:right w:w="0" w:type="dxa"/>
        </w:tblCellMar>
      </w:tblPr>
      <w:tblGrid>
        <w:gridCol w:w="2535"/>
        <w:gridCol w:w="2712"/>
        <w:gridCol w:w="3791"/>
      </w:tblGrid>
      <w:tr>
        <w:tblPrEx>
          <w:tblCellMar>
            <w:top w:w="0" w:type="dxa"/>
            <w:left w:w="0" w:type="dxa"/>
            <w:bottom w:w="0" w:type="dxa"/>
            <w:right w:w="0" w:type="dxa"/>
          </w:tblCellMar>
        </w:tblPrEx>
        <w:trPr>
          <w:trHeight w:val="446"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中标价</w:t>
            </w:r>
          </w:p>
        </w:tc>
        <w:tc>
          <w:tcPr>
            <w:tcW w:w="271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分档收费标准</w:t>
            </w:r>
          </w:p>
        </w:tc>
        <w:tc>
          <w:tcPr>
            <w:tcW w:w="379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CellMar>
            <w:top w:w="0" w:type="dxa"/>
            <w:left w:w="0" w:type="dxa"/>
            <w:bottom w:w="0" w:type="dxa"/>
            <w:right w:w="0" w:type="dxa"/>
          </w:tblCellMar>
        </w:tblPrEx>
        <w:trPr>
          <w:trHeight w:val="703"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100万（含）以下</w:t>
            </w:r>
          </w:p>
        </w:tc>
        <w:tc>
          <w:tcPr>
            <w:tcW w:w="271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1000元</w:t>
            </w:r>
          </w:p>
        </w:tc>
        <w:tc>
          <w:tcPr>
            <w:tcW w:w="3791" w:type="dxa"/>
            <w:vMerge w:val="restart"/>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val="0"/>
              <w:numPr>
                <w:ilvl w:val="0"/>
                <w:numId w:val="0"/>
              </w:numPr>
              <w:kinsoku/>
              <w:wordWrap/>
              <w:overflowPunct/>
              <w:topLinePunct w:val="0"/>
              <w:autoSpaceDE w:val="0"/>
              <w:autoSpaceDN/>
              <w:bidi w:val="0"/>
              <w:adjustRightInd/>
              <w:snapToGrid/>
              <w:spacing w:line="360" w:lineRule="auto"/>
              <w:ind w:left="0" w:leftChars="0" w:firstLine="480" w:firstLineChars="200"/>
              <w:jc w:val="left"/>
              <w:textAlignment w:val="center"/>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1.</w:t>
            </w:r>
            <w:r>
              <w:rPr>
                <w:rFonts w:hint="eastAsia" w:ascii="仿宋" w:hAnsi="仿宋" w:eastAsia="仿宋" w:cs="仿宋"/>
                <w:sz w:val="24"/>
                <w:szCs w:val="24"/>
                <w:highlight w:val="none"/>
              </w:rPr>
              <w:t>费用由采购单位和中标单位各承担50%或按采购文件约定的承担比例支付给产交中心；</w:t>
            </w:r>
          </w:p>
          <w:p>
            <w:pPr>
              <w:pageBreakBefore w:val="0"/>
              <w:widowControl w:val="0"/>
              <w:numPr>
                <w:ilvl w:val="0"/>
                <w:numId w:val="0"/>
              </w:numPr>
              <w:kinsoku/>
              <w:wordWrap/>
              <w:overflowPunct/>
              <w:topLinePunct w:val="0"/>
              <w:autoSpaceDE w:val="0"/>
              <w:autoSpaceDN/>
              <w:bidi w:val="0"/>
              <w:adjustRightInd/>
              <w:snapToGrid/>
              <w:spacing w:line="360" w:lineRule="auto"/>
              <w:ind w:left="0" w:leftChars="0" w:firstLine="480" w:firstLineChars="200"/>
              <w:jc w:val="left"/>
              <w:textAlignment w:val="center"/>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rPr>
              <w:t>项目废标后再次进场交易的由最终的中标单位及采购单位各承担50%或按采购文件约定的承担比例执行，废标后不再进场交易的项目由采购单位按照第二档100万-200万（含）的收费标准承担50%（即：800元）；</w:t>
            </w:r>
          </w:p>
          <w:p>
            <w:pPr>
              <w:pageBreakBefore w:val="0"/>
              <w:widowControl w:val="0"/>
              <w:numPr>
                <w:ilvl w:val="0"/>
                <w:numId w:val="0"/>
              </w:numPr>
              <w:kinsoku/>
              <w:wordWrap/>
              <w:overflowPunct/>
              <w:topLinePunct w:val="0"/>
              <w:autoSpaceDE w:val="0"/>
              <w:autoSpaceDN/>
              <w:bidi w:val="0"/>
              <w:adjustRightInd/>
              <w:snapToGrid/>
              <w:spacing w:line="360" w:lineRule="auto"/>
              <w:ind w:left="0" w:leftChars="0" w:firstLine="480" w:firstLineChars="200"/>
              <w:jc w:val="left"/>
              <w:textAlignment w:val="center"/>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sz w:val="24"/>
                <w:szCs w:val="24"/>
                <w:highlight w:val="none"/>
              </w:rPr>
              <w:t>项目分标段（包）的，按标段（包）进行收费，一个标段（包）收取一次费用；</w:t>
            </w:r>
          </w:p>
          <w:p>
            <w:pPr>
              <w:pageBreakBefore w:val="0"/>
              <w:widowControl w:val="0"/>
              <w:kinsoku/>
              <w:wordWrap/>
              <w:overflowPunct/>
              <w:topLinePunct w:val="0"/>
              <w:autoSpaceDE w:val="0"/>
              <w:autoSpaceDN/>
              <w:bidi w:val="0"/>
              <w:adjustRightInd/>
              <w:snapToGrid/>
              <w:spacing w:line="360" w:lineRule="auto"/>
              <w:ind w:firstLine="480" w:firstLineChars="200"/>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4.无法确定交易（中标）金额的项目，按照第二档100万-200万（含）的收费标准执行。</w:t>
            </w:r>
          </w:p>
        </w:tc>
      </w:tr>
      <w:tr>
        <w:tblPrEx>
          <w:tblCellMar>
            <w:top w:w="0" w:type="dxa"/>
            <w:left w:w="0" w:type="dxa"/>
            <w:bottom w:w="0" w:type="dxa"/>
            <w:right w:w="0" w:type="dxa"/>
          </w:tblCellMar>
        </w:tblPrEx>
        <w:trPr>
          <w:trHeight w:val="703"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100万-200万（含）</w:t>
            </w:r>
          </w:p>
        </w:tc>
        <w:tc>
          <w:tcPr>
            <w:tcW w:w="271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1600元</w:t>
            </w:r>
          </w:p>
        </w:tc>
        <w:tc>
          <w:tcPr>
            <w:tcW w:w="3791" w:type="dxa"/>
            <w:vMerge w:val="continue"/>
            <w:tcBorders>
              <w:top w:val="nil"/>
              <w:left w:val="nil"/>
              <w:bottom w:val="single" w:color="000000" w:sz="4" w:space="0"/>
              <w:right w:val="single" w:color="000000" w:sz="4" w:space="0"/>
            </w:tcBorders>
            <w:noWrap w:val="0"/>
            <w:vAlign w:val="center"/>
          </w:tcPr>
          <w:p>
            <w:pPr>
              <w:pageBreakBefore w:val="0"/>
              <w:widowControl w:val="0"/>
              <w:kinsoku/>
              <w:wordWrap/>
              <w:overflowPunct/>
              <w:topLinePunct w:val="0"/>
              <w:autoSpaceDN/>
              <w:bidi w:val="0"/>
              <w:adjustRightInd/>
              <w:snapToGrid/>
              <w:spacing w:line="360" w:lineRule="auto"/>
              <w:jc w:val="center"/>
              <w:rPr>
                <w:rFonts w:hint="eastAsia"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703"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200万-500万（含）</w:t>
            </w:r>
          </w:p>
        </w:tc>
        <w:tc>
          <w:tcPr>
            <w:tcW w:w="271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4000元</w:t>
            </w:r>
          </w:p>
        </w:tc>
        <w:tc>
          <w:tcPr>
            <w:tcW w:w="3791" w:type="dxa"/>
            <w:vMerge w:val="continue"/>
            <w:tcBorders>
              <w:top w:val="nil"/>
              <w:left w:val="nil"/>
              <w:bottom w:val="single" w:color="000000" w:sz="4" w:space="0"/>
              <w:right w:val="single" w:color="000000" w:sz="4" w:space="0"/>
            </w:tcBorders>
            <w:noWrap w:val="0"/>
            <w:vAlign w:val="center"/>
          </w:tcPr>
          <w:p>
            <w:pPr>
              <w:pageBreakBefore w:val="0"/>
              <w:widowControl w:val="0"/>
              <w:kinsoku/>
              <w:wordWrap/>
              <w:overflowPunct/>
              <w:topLinePunct w:val="0"/>
              <w:autoSpaceDN/>
              <w:bidi w:val="0"/>
              <w:adjustRightInd/>
              <w:snapToGrid/>
              <w:spacing w:line="360" w:lineRule="auto"/>
              <w:jc w:val="center"/>
              <w:rPr>
                <w:rFonts w:hint="eastAsia"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703"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500万-1000万（含）</w:t>
            </w:r>
          </w:p>
        </w:tc>
        <w:tc>
          <w:tcPr>
            <w:tcW w:w="271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12000元</w:t>
            </w:r>
          </w:p>
        </w:tc>
        <w:tc>
          <w:tcPr>
            <w:tcW w:w="3791" w:type="dxa"/>
            <w:vMerge w:val="continue"/>
            <w:tcBorders>
              <w:top w:val="nil"/>
              <w:left w:val="nil"/>
              <w:bottom w:val="single" w:color="000000" w:sz="4" w:space="0"/>
              <w:right w:val="single" w:color="000000" w:sz="4" w:space="0"/>
            </w:tcBorders>
            <w:noWrap w:val="0"/>
            <w:vAlign w:val="center"/>
          </w:tcPr>
          <w:p>
            <w:pPr>
              <w:pageBreakBefore w:val="0"/>
              <w:widowControl w:val="0"/>
              <w:kinsoku/>
              <w:wordWrap/>
              <w:overflowPunct/>
              <w:topLinePunct w:val="0"/>
              <w:autoSpaceDN/>
              <w:bidi w:val="0"/>
              <w:adjustRightInd/>
              <w:snapToGrid/>
              <w:spacing w:line="360" w:lineRule="auto"/>
              <w:jc w:val="center"/>
              <w:rPr>
                <w:rFonts w:hint="eastAsia"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703"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1000万-2000万（含）</w:t>
            </w:r>
          </w:p>
        </w:tc>
        <w:tc>
          <w:tcPr>
            <w:tcW w:w="271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20000元</w:t>
            </w:r>
          </w:p>
        </w:tc>
        <w:tc>
          <w:tcPr>
            <w:tcW w:w="3791" w:type="dxa"/>
            <w:vMerge w:val="continue"/>
            <w:tcBorders>
              <w:top w:val="nil"/>
              <w:left w:val="nil"/>
              <w:bottom w:val="single" w:color="000000" w:sz="4" w:space="0"/>
              <w:right w:val="single" w:color="000000" w:sz="4" w:space="0"/>
            </w:tcBorders>
            <w:noWrap w:val="0"/>
            <w:vAlign w:val="center"/>
          </w:tcPr>
          <w:p>
            <w:pPr>
              <w:pageBreakBefore w:val="0"/>
              <w:widowControl w:val="0"/>
              <w:kinsoku/>
              <w:wordWrap/>
              <w:overflowPunct/>
              <w:topLinePunct w:val="0"/>
              <w:autoSpaceDN/>
              <w:bidi w:val="0"/>
              <w:adjustRightInd/>
              <w:snapToGrid/>
              <w:spacing w:line="360" w:lineRule="auto"/>
              <w:jc w:val="center"/>
              <w:rPr>
                <w:rFonts w:hint="eastAsia"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703"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2000万-5000万（含）</w:t>
            </w:r>
          </w:p>
        </w:tc>
        <w:tc>
          <w:tcPr>
            <w:tcW w:w="271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30000元</w:t>
            </w:r>
          </w:p>
        </w:tc>
        <w:tc>
          <w:tcPr>
            <w:tcW w:w="3791" w:type="dxa"/>
            <w:vMerge w:val="continue"/>
            <w:tcBorders>
              <w:top w:val="nil"/>
              <w:left w:val="nil"/>
              <w:bottom w:val="single" w:color="000000" w:sz="4" w:space="0"/>
              <w:right w:val="single" w:color="000000" w:sz="4" w:space="0"/>
            </w:tcBorders>
            <w:noWrap w:val="0"/>
            <w:vAlign w:val="center"/>
          </w:tcPr>
          <w:p>
            <w:pPr>
              <w:pageBreakBefore w:val="0"/>
              <w:widowControl w:val="0"/>
              <w:kinsoku/>
              <w:wordWrap/>
              <w:overflowPunct/>
              <w:topLinePunct w:val="0"/>
              <w:autoSpaceDN/>
              <w:bidi w:val="0"/>
              <w:adjustRightInd/>
              <w:snapToGrid/>
              <w:spacing w:line="360" w:lineRule="auto"/>
              <w:jc w:val="center"/>
              <w:rPr>
                <w:rFonts w:hint="eastAsia"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703"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5000万-1亿（含）</w:t>
            </w:r>
          </w:p>
        </w:tc>
        <w:tc>
          <w:tcPr>
            <w:tcW w:w="271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40000元</w:t>
            </w:r>
          </w:p>
        </w:tc>
        <w:tc>
          <w:tcPr>
            <w:tcW w:w="3791" w:type="dxa"/>
            <w:vMerge w:val="continue"/>
            <w:tcBorders>
              <w:top w:val="nil"/>
              <w:left w:val="nil"/>
              <w:bottom w:val="single" w:color="000000" w:sz="4" w:space="0"/>
              <w:right w:val="single" w:color="000000" w:sz="4" w:space="0"/>
            </w:tcBorders>
            <w:noWrap w:val="0"/>
            <w:vAlign w:val="center"/>
          </w:tcPr>
          <w:p>
            <w:pPr>
              <w:pageBreakBefore w:val="0"/>
              <w:widowControl w:val="0"/>
              <w:kinsoku/>
              <w:wordWrap/>
              <w:overflowPunct/>
              <w:topLinePunct w:val="0"/>
              <w:autoSpaceDN/>
              <w:bidi w:val="0"/>
              <w:adjustRightInd/>
              <w:snapToGrid/>
              <w:spacing w:line="360" w:lineRule="auto"/>
              <w:jc w:val="center"/>
              <w:rPr>
                <w:rFonts w:hint="eastAsia"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703"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1亿-5亿（含）</w:t>
            </w:r>
          </w:p>
        </w:tc>
        <w:tc>
          <w:tcPr>
            <w:tcW w:w="271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60000元</w:t>
            </w:r>
          </w:p>
        </w:tc>
        <w:tc>
          <w:tcPr>
            <w:tcW w:w="3791" w:type="dxa"/>
            <w:vMerge w:val="continue"/>
            <w:tcBorders>
              <w:top w:val="nil"/>
              <w:left w:val="nil"/>
              <w:bottom w:val="single" w:color="000000" w:sz="4" w:space="0"/>
              <w:right w:val="single" w:color="000000" w:sz="4" w:space="0"/>
            </w:tcBorders>
            <w:noWrap w:val="0"/>
            <w:vAlign w:val="center"/>
          </w:tcPr>
          <w:p>
            <w:pPr>
              <w:pageBreakBefore w:val="0"/>
              <w:widowControl w:val="0"/>
              <w:kinsoku/>
              <w:wordWrap/>
              <w:overflowPunct/>
              <w:topLinePunct w:val="0"/>
              <w:autoSpaceDN/>
              <w:bidi w:val="0"/>
              <w:adjustRightInd/>
              <w:snapToGrid/>
              <w:spacing w:line="360" w:lineRule="auto"/>
              <w:jc w:val="center"/>
              <w:rPr>
                <w:rFonts w:hint="eastAsia"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703"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5亿-10亿（含）</w:t>
            </w:r>
          </w:p>
        </w:tc>
        <w:tc>
          <w:tcPr>
            <w:tcW w:w="271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80000元</w:t>
            </w:r>
          </w:p>
        </w:tc>
        <w:tc>
          <w:tcPr>
            <w:tcW w:w="3791" w:type="dxa"/>
            <w:vMerge w:val="continue"/>
            <w:tcBorders>
              <w:top w:val="nil"/>
              <w:left w:val="nil"/>
              <w:bottom w:val="single" w:color="000000" w:sz="4" w:space="0"/>
              <w:right w:val="single" w:color="000000" w:sz="4" w:space="0"/>
            </w:tcBorders>
            <w:noWrap w:val="0"/>
            <w:vAlign w:val="center"/>
          </w:tcPr>
          <w:p>
            <w:pPr>
              <w:pageBreakBefore w:val="0"/>
              <w:widowControl w:val="0"/>
              <w:kinsoku/>
              <w:wordWrap/>
              <w:overflowPunct/>
              <w:topLinePunct w:val="0"/>
              <w:autoSpaceDN/>
              <w:bidi w:val="0"/>
              <w:adjustRightInd/>
              <w:snapToGrid/>
              <w:spacing w:line="360" w:lineRule="auto"/>
              <w:jc w:val="center"/>
              <w:rPr>
                <w:rFonts w:hint="eastAsia"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703"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10亿以上</w:t>
            </w:r>
          </w:p>
        </w:tc>
        <w:tc>
          <w:tcPr>
            <w:tcW w:w="271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pageBreakBefore w:val="0"/>
              <w:widowControl w:val="0"/>
              <w:kinsoku/>
              <w:wordWrap/>
              <w:overflowPunct/>
              <w:topLinePunct w:val="0"/>
              <w:autoSpaceDE w:val="0"/>
              <w:autoSpaceDN/>
              <w:bidi w:val="0"/>
              <w:adjustRightInd/>
              <w:snapToGri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100000元</w:t>
            </w:r>
          </w:p>
        </w:tc>
        <w:tc>
          <w:tcPr>
            <w:tcW w:w="3791" w:type="dxa"/>
            <w:vMerge w:val="continue"/>
            <w:tcBorders>
              <w:top w:val="nil"/>
              <w:left w:val="nil"/>
              <w:bottom w:val="single" w:color="000000" w:sz="4" w:space="0"/>
              <w:right w:val="single" w:color="000000" w:sz="4" w:space="0"/>
            </w:tcBorders>
            <w:noWrap w:val="0"/>
            <w:vAlign w:val="center"/>
          </w:tcPr>
          <w:p>
            <w:pPr>
              <w:pageBreakBefore w:val="0"/>
              <w:widowControl w:val="0"/>
              <w:kinsoku/>
              <w:wordWrap/>
              <w:overflowPunct/>
              <w:topLinePunct w:val="0"/>
              <w:autoSpaceDN/>
              <w:bidi w:val="0"/>
              <w:adjustRightInd/>
              <w:snapToGrid/>
              <w:spacing w:line="360" w:lineRule="auto"/>
              <w:jc w:val="center"/>
              <w:rPr>
                <w:rFonts w:hint="eastAsia" w:ascii="仿宋" w:hAnsi="仿宋" w:eastAsia="仿宋" w:cs="仿宋"/>
                <w:bCs/>
                <w:color w:val="000000"/>
                <w:sz w:val="24"/>
                <w:szCs w:val="24"/>
                <w:highlight w:val="none"/>
              </w:rPr>
            </w:pPr>
          </w:p>
        </w:tc>
      </w:tr>
    </w:tbl>
    <w:p>
      <w:pPr>
        <w:pageBreakBefore w:val="0"/>
        <w:widowControl w:val="0"/>
        <w:kinsoku/>
        <w:wordWrap/>
        <w:overflowPunct/>
        <w:topLinePunct w:val="0"/>
        <w:autoSpaceDN/>
        <w:bidi w:val="0"/>
        <w:adjustRightInd/>
        <w:snapToGrid/>
        <w:spacing w:line="360" w:lineRule="auto"/>
        <w:ind w:firstLine="480" w:firstLineChars="200"/>
        <w:outlineLvl w:val="3"/>
        <w:rPr>
          <w:rFonts w:hint="eastAsia" w:ascii="仿宋" w:hAnsi="仿宋" w:eastAsia="仿宋" w:cs="仿宋"/>
          <w:bCs/>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3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⑶</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以上费用不在报价中单列，请各供应商在报价时考虑。</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w:t>
      </w:r>
      <w:bookmarkEnd w:id="98"/>
      <w:r>
        <w:rPr>
          <w:rFonts w:hint="eastAsia" w:ascii="仿宋" w:hAnsi="仿宋" w:eastAsia="仿宋" w:cs="仿宋"/>
          <w:bCs/>
          <w:sz w:val="24"/>
          <w:szCs w:val="24"/>
          <w:highlight w:val="none"/>
        </w:rPr>
        <w:t>.解释权</w:t>
      </w:r>
    </w:p>
    <w:p>
      <w:pPr>
        <w:pStyle w:val="23"/>
        <w:pageBreakBefore w:val="0"/>
        <w:widowControl w:val="0"/>
        <w:kinsoku/>
        <w:wordWrap/>
        <w:overflowPunct/>
        <w:topLinePunct w:val="0"/>
        <w:autoSpaceDN/>
        <w:bidi w:val="0"/>
        <w:adjustRightInd/>
        <w:snapToGrid/>
        <w:spacing w:line="360" w:lineRule="auto"/>
        <w:ind w:firstLine="480" w:firstLineChars="200"/>
        <w:jc w:val="left"/>
        <w:rPr>
          <w:rFonts w:hint="eastAsia" w:ascii="仿宋" w:hAnsi="仿宋" w:eastAsia="仿宋" w:cs="仿宋"/>
          <w:bCs/>
          <w:sz w:val="24"/>
          <w:szCs w:val="24"/>
          <w:highlight w:val="none"/>
        </w:rPr>
        <w:sectPr>
          <w:footerReference r:id="rId5" w:type="default"/>
          <w:pgSz w:w="11922" w:h="16838"/>
          <w:pgMar w:top="1417" w:right="1304" w:bottom="1417" w:left="1304" w:header="397" w:footer="1037" w:gutter="0"/>
          <w:pgNumType w:start="2"/>
          <w:cols w:space="0" w:num="1"/>
          <w:rtlGutter w:val="0"/>
          <w:docGrid w:linePitch="0" w:charSpace="0"/>
        </w:sectPr>
      </w:pPr>
      <w:r>
        <w:rPr>
          <w:rFonts w:hint="eastAsia" w:ascii="仿宋" w:hAnsi="仿宋" w:eastAsia="仿宋" w:cs="仿宋"/>
          <w:bCs/>
          <w:sz w:val="24"/>
          <w:szCs w:val="24"/>
          <w:highlight w:val="none"/>
        </w:rPr>
        <w:t>凡涉及本次文件的解</w:t>
      </w:r>
      <w:r>
        <w:rPr>
          <w:rFonts w:hint="eastAsia" w:ascii="仿宋" w:hAnsi="仿宋" w:eastAsia="仿宋" w:cs="仿宋"/>
          <w:bCs/>
          <w:color w:val="auto"/>
          <w:sz w:val="24"/>
          <w:szCs w:val="24"/>
          <w:highlight w:val="none"/>
        </w:rPr>
        <w:t>释权均属于</w:t>
      </w:r>
      <w:r>
        <w:rPr>
          <w:rFonts w:hint="eastAsia" w:ascii="仿宋" w:hAnsi="仿宋" w:eastAsia="仿宋" w:cs="仿宋"/>
          <w:bCs/>
          <w:color w:val="auto"/>
          <w:sz w:val="24"/>
          <w:szCs w:val="24"/>
          <w:highlight w:val="none"/>
          <w:lang w:eastAsia="zh-CN"/>
        </w:rPr>
        <w:t>浙江衢州公交集团有限公司</w:t>
      </w:r>
      <w:r>
        <w:rPr>
          <w:rFonts w:hint="eastAsia" w:ascii="仿宋" w:hAnsi="仿宋" w:eastAsia="仿宋" w:cs="仿宋"/>
          <w:bCs/>
          <w:color w:val="auto"/>
          <w:sz w:val="24"/>
          <w:szCs w:val="24"/>
          <w:highlight w:val="none"/>
        </w:rPr>
        <w:t>和</w:t>
      </w:r>
      <w:r>
        <w:rPr>
          <w:rFonts w:hint="eastAsia" w:ascii="仿宋" w:hAnsi="仿宋" w:eastAsia="仿宋" w:cs="仿宋"/>
          <w:color w:val="auto"/>
          <w:sz w:val="24"/>
          <w:szCs w:val="24"/>
          <w:highlight w:val="none"/>
        </w:rPr>
        <w:t>衢州市两山工程咨询管理有限公司</w:t>
      </w:r>
      <w:r>
        <w:rPr>
          <w:rFonts w:hint="eastAsia" w:ascii="仿宋" w:hAnsi="仿宋" w:eastAsia="仿宋" w:cs="仿宋"/>
          <w:bCs/>
          <w:color w:val="auto"/>
          <w:sz w:val="24"/>
          <w:szCs w:val="24"/>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sz w:val="28"/>
          <w:szCs w:val="28"/>
          <w:highlight w:val="none"/>
        </w:rPr>
      </w:pPr>
      <w:bookmarkStart w:id="99" w:name="_Toc1243"/>
      <w:bookmarkStart w:id="100" w:name="_Toc4809"/>
      <w:bookmarkStart w:id="101" w:name="_Toc23780"/>
      <w:bookmarkStart w:id="102" w:name="_Toc8579"/>
      <w:bookmarkStart w:id="103" w:name="_Toc7682"/>
      <w:bookmarkStart w:id="104" w:name="_Toc8641"/>
      <w:bookmarkStart w:id="105" w:name="_Toc31814"/>
      <w:bookmarkStart w:id="106" w:name="_Toc12467"/>
      <w:bookmarkStart w:id="107" w:name="_Toc19965"/>
      <w:bookmarkStart w:id="108" w:name="_Toc359856810"/>
      <w:bookmarkStart w:id="109" w:name="_Toc350256314"/>
      <w:bookmarkStart w:id="110" w:name="_Toc322352983"/>
      <w:bookmarkStart w:id="111" w:name="_Toc354401531"/>
      <w:r>
        <w:rPr>
          <w:rFonts w:hint="eastAsia" w:ascii="仿宋" w:hAnsi="仿宋" w:eastAsia="仿宋" w:cs="仿宋"/>
          <w:b/>
          <w:sz w:val="28"/>
          <w:szCs w:val="28"/>
          <w:highlight w:val="none"/>
        </w:rPr>
        <w:t>采购内容及要求</w:t>
      </w:r>
      <w:bookmarkEnd w:id="99"/>
      <w:bookmarkEnd w:id="100"/>
      <w:bookmarkEnd w:id="101"/>
      <w:bookmarkEnd w:id="102"/>
      <w:bookmarkEnd w:id="103"/>
      <w:bookmarkEnd w:id="104"/>
      <w:bookmarkEnd w:id="105"/>
      <w:bookmarkEnd w:id="106"/>
      <w:bookmarkEnd w:id="107"/>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2"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1.项目名称：</w:t>
      </w:r>
      <w:r>
        <w:rPr>
          <w:rFonts w:hint="eastAsia" w:ascii="仿宋" w:hAnsi="仿宋" w:eastAsia="仿宋" w:cs="仿宋"/>
          <w:color w:val="auto"/>
          <w:kern w:val="2"/>
          <w:sz w:val="24"/>
          <w:szCs w:val="24"/>
          <w:lang w:val="en-US" w:eastAsia="zh-CN" w:bidi="ar"/>
        </w:rPr>
        <w:t>会议室设备采购项目</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2.预算：</w:t>
      </w:r>
      <w:r>
        <w:rPr>
          <w:rFonts w:hint="eastAsia" w:ascii="仿宋" w:hAnsi="仿宋" w:eastAsia="仿宋" w:cs="仿宋"/>
          <w:b w:val="0"/>
          <w:bCs w:val="0"/>
          <w:sz w:val="24"/>
          <w:szCs w:val="24"/>
          <w:lang w:val="en-US" w:eastAsia="zh-CN"/>
        </w:rPr>
        <w:t>97992.67</w:t>
      </w:r>
      <w:r>
        <w:rPr>
          <w:rFonts w:hint="eastAsia" w:ascii="仿宋" w:hAnsi="仿宋" w:eastAsia="仿宋" w:cs="仿宋"/>
          <w:b w:val="0"/>
          <w:bCs w:val="0"/>
          <w:sz w:val="24"/>
          <w:szCs w:val="24"/>
        </w:rPr>
        <w:t>元</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3采购清单：</w:t>
      </w:r>
    </w:p>
    <w:p>
      <w:pPr>
        <w:rPr>
          <w:rFonts w:hint="eastAsia"/>
        </w:rPr>
      </w:pPr>
    </w:p>
    <w:tbl>
      <w:tblPr>
        <w:tblStyle w:val="16"/>
        <w:tblW w:w="10594" w:type="dxa"/>
        <w:tblInd w:w="-3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2165"/>
        <w:gridCol w:w="5400"/>
        <w:gridCol w:w="769"/>
        <w:gridCol w:w="666"/>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产品名称</w:t>
            </w:r>
          </w:p>
        </w:tc>
        <w:tc>
          <w:tcPr>
            <w:tcW w:w="5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要求</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3楼大会议室音频系统设备</w:t>
            </w:r>
          </w:p>
        </w:tc>
        <w:tc>
          <w:tcPr>
            <w:tcW w:w="5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bCs/>
                <w:color w:val="auto"/>
                <w:sz w:val="24"/>
                <w:szCs w:val="24"/>
                <w:highlight w:val="none"/>
              </w:rPr>
              <w:t>▲</w:t>
            </w:r>
            <w:r>
              <w:rPr>
                <w:rFonts w:hint="eastAsia" w:ascii="仿宋" w:hAnsi="仿宋" w:eastAsia="仿宋" w:cs="仿宋"/>
                <w:i w:val="0"/>
                <w:iCs w:val="0"/>
                <w:color w:val="auto"/>
                <w:kern w:val="0"/>
                <w:sz w:val="21"/>
                <w:szCs w:val="21"/>
                <w:u w:val="none"/>
                <w:lang w:val="en-US" w:eastAsia="zh-CN" w:bidi="ar"/>
              </w:rPr>
              <w:t>采购设备质保3年，含设备安装、调试费</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5楼大会议室音视频系统设备</w:t>
            </w:r>
          </w:p>
        </w:tc>
        <w:tc>
          <w:tcPr>
            <w:tcW w:w="5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bCs/>
                <w:color w:val="auto"/>
                <w:sz w:val="24"/>
                <w:szCs w:val="24"/>
                <w:highlight w:val="none"/>
              </w:rPr>
              <w:t>▲</w:t>
            </w:r>
            <w:r>
              <w:rPr>
                <w:rFonts w:hint="eastAsia" w:ascii="仿宋" w:hAnsi="仿宋" w:eastAsia="仿宋" w:cs="仿宋"/>
                <w:i w:val="0"/>
                <w:iCs w:val="0"/>
                <w:color w:val="auto"/>
                <w:kern w:val="0"/>
                <w:sz w:val="21"/>
                <w:szCs w:val="21"/>
                <w:u w:val="none"/>
                <w:lang w:val="en-US" w:eastAsia="zh-CN" w:bidi="ar"/>
              </w:rPr>
              <w:t>采购设备激光投影仪质保5年，其他设备质保3年，含设备安装、调试费</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 w:hAnsi="仿宋" w:eastAsia="仿宋" w:cs="仿宋"/>
                <w:i w:val="0"/>
                <w:iCs w:val="0"/>
                <w:color w:val="000000"/>
                <w:sz w:val="21"/>
                <w:szCs w:val="21"/>
                <w:u w:val="none"/>
              </w:rPr>
            </w:pPr>
          </w:p>
        </w:tc>
      </w:tr>
    </w:tbl>
    <w:p>
      <w:pPr>
        <w:rPr>
          <w:rFonts w:hint="eastAsia"/>
        </w:rPr>
      </w:pPr>
    </w:p>
    <w:tbl>
      <w:tblPr>
        <w:tblStyle w:val="16"/>
        <w:tblW w:w="10577"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050"/>
        <w:gridCol w:w="6911"/>
        <w:gridCol w:w="525"/>
        <w:gridCol w:w="525"/>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577"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8"/>
                <w:szCs w:val="28"/>
                <w:u w:val="none"/>
                <w:lang w:val="en-US" w:eastAsia="zh-CN" w:bidi="ar"/>
              </w:rPr>
              <w:t>3楼大会议室音频系统设备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技术参数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专业立体声功放</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1.双声道立体声专业数字功率放大器，有双声道、单声道和BTL桥接三种输出方式供选择，输出方式开关选择；每声道音量可调；</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2.具有XLR平行输入输出接口，更适合专业设备的应用习惯；</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3.内置先进的电压压限，可以避免输入电压出现异常或过大导致功率输出异常，出现削波失真影响听音体验以及危害音箱的高音单元；</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4.具有常用接线柱和专业SPEAKON扬声器插座（只限于立体声工作模式）；</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5.中高频比模拟功放清晰，适合用于会议等多种不同场合的语言传输和扩声；</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6.各通道均配备LED工作状态指示；</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7.指示灯：“电源”, “削顶”,“信号”,“保护”,“温度”保护：超温、直流、短路、连续信号限制；</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8.多个功率级别的设计满足于不同场合的应用需求,每声道（8Ω）额定输出≥300W，每声道（4Ω）额定输出≥450W，桥接（8Ω）额定输出≥900W；</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9.为保证系统安全稳定运行需满足以下要求:每声道（8Ω）失真限制的输出功率：≥300W；增益限制的有效频率范围：20-20000Hz；总谐波失真：≤0.5%；最小源电动势：≤1100mV；信噪比：≥95dB；（提供根据GB/T 12060.3-2011声系统设备关于声频放大器测量方式检测合格的检测报告复印件加盖投标人公章）</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调音台</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1.每通道具有均衡调节，MUTE静音开关，PFL耳机开关，平滑行程推子器；</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color w:val="auto"/>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2.具有≥10路XLR平衡单声道输入接口、2路立体声输入接口、2个编组输出接口、2组AUX输出接口、1组返回接口、1组监听耳机输出接口；（提供第三方检测报告复印件并加盖投标人公章）</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3.具有USB、蓝牙音频播放功能，支持MP3、MAV音频格式；</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4.具有48V幻象供电功能；</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5.具有DSP数字效果器；</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6.具有LED显示屏清淅显示播放状态;</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7.支持USB录音、也可连电脑播放音乐；</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8.XLR平衡输入话放噪声极低，超低噪音线路设计，动态余量大；</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专业自动反馈抑制器</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1.支持卡侬(XLR)平衡输入输出，单端(RCA)非平衡输入输出，不小于2路线路/话筒输入，不小于2路线路/话筒输出；</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2.内置高端高速浮点数字信号处理器和自适应反馈陷波处理算法技术；</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3.面板带有4*8段实时电平显示指示灯，精准显示输入/输出信号电平的大小；</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4.面板带有通道静音，旁路和滤波器重置的快速按钮；</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5.每路输入带不小于15个自适应陷波滤波器，可按需配置动态/固定滤波器数量；</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6.TCP/IP控制协议，连接PC电脑进行网页端进行各种详细参数的控制调节；</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7.支持多档位模拟音量调节(-18dBV ~12dBV)，最大输入电平(1%失真)10V，信噪比(0dBv)≥93dB；</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8.设备供电范围：AC100V---240V  50/60 Hz，功耗≤10W；</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真分集无线话筒（桌面式）</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1.采用UHF超高频段真分集接收方式，并采用PLL锁相环多信道频率合成技术，有效避免断频现象和延长接收距离，传输更稳定；</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2.采用红外线对频，每通道音量单独可调；</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3.支持平衡XLR输出和不平衡6.3mm输出；</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4.采用专业音频压缩-扩展技术，噪音小，尾音小,动态范围大；</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5.具有高保真音色,独特的干扰噪音静噪功能；</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6.高档液晶显示屏，可显示频率、频道、静噪、电平等信息，人机对话一目了然；</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7.可锁定功能按键,防止在设置完成后意外更改系统设置；</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8.还原性好，接收距离远，空旷环境下可达300米，适用于大型广场、多功能厅、演出、及高端会场；</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9.系统内任何一支话筒与任何一台接收机都可对频；</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10.配套有1台接收主机和8个台式话筒；</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11.为保证系统安全稳定运行需满足以下要求:总谐波失真：≤1.7%；信噪比：≥64dB。（提供带“ilac-MRA/CNAS/CMA”标识的第三方检测报告复印件加盖投标人公章）</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一拖八座麦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电源时序器</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1.支持独立的八路大功率电源输出，万能插座，可满足多种三级的电源插座，如国标插座、美标插座以及欧标插座等，还可满足二级欧式的圆头插座；</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2.支持控制和显示八路通道开关状态，可通过面板一键开关时序关启通道；</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3.支持开机时由前级到后级按顺序逐个启动各类设备，关机时由后级到前级逐个关闭各个设备，有效的统一管理控制用电设备，确保整个系统的稳定运行；</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4.单路负荷10A</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5.电源容量:总容量220V，不小于16A</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6.输入电源:AC220-240/50Hz</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7.支持短路信号触发控制：电源开关处于关闭状态时，从TIMER IN口接入短路信号输入，会顺序激活8路电源输出。</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8.电源输出顺序间隔时间:0.4-0.5s。</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9.控制方式：手动顺序启动、外接短路信号触发启动</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卡侬头（母）-卡侬头（公）</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1.2M卡侬头（母）-卡侬头（公）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扩声设备间跳线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莲花-话筒插头</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1.2M莲花（RCA）-6.35话筒插头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无线路由器</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1.5G无线路由器，双频（2.4GHz，5GHz），最大连接数不小于128个，支持Wi-Fi6+；</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2.外置4天线 天线增益不小于5dbi；</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3.存储：运行内存（RAM）+ 机身内存（ROM）不小于256 MB RAM + 128 MB ROM；</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4.按键：支持HiLink一键配对，兼容WPS；</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5.复位按键：独立Reset复位按键；</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6.Wi-Fi模式：支持穿墙、标准、睡眠三种模式；</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7.WAN 和 LAN 接口自适应，入户网线可以插任意一个网口。</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8.含会议室网络连接布线。</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6" w:type="dxa"/>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1"/>
                <w:szCs w:val="21"/>
                <w:highlight w:val="none"/>
                <w:u w:val="none"/>
              </w:rPr>
            </w:pPr>
          </w:p>
        </w:tc>
        <w:tc>
          <w:tcPr>
            <w:tcW w:w="1050" w:type="dxa"/>
            <w:tcBorders>
              <w:top w:val="nil"/>
              <w:left w:val="nil"/>
              <w:bottom w:val="nil"/>
              <w:right w:val="nil"/>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6911"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1"/>
                <w:szCs w:val="21"/>
                <w:highlight w:val="none"/>
                <w:u w:val="none"/>
              </w:rPr>
            </w:pPr>
          </w:p>
        </w:tc>
        <w:tc>
          <w:tcPr>
            <w:tcW w:w="525" w:type="dxa"/>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1"/>
                <w:szCs w:val="21"/>
                <w:highlight w:val="none"/>
                <w:u w:val="none"/>
              </w:rPr>
            </w:pPr>
          </w:p>
        </w:tc>
        <w:tc>
          <w:tcPr>
            <w:tcW w:w="525" w:type="dxa"/>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1"/>
                <w:szCs w:val="21"/>
                <w:highlight w:val="none"/>
                <w:u w:val="none"/>
              </w:rPr>
            </w:pPr>
          </w:p>
        </w:tc>
        <w:tc>
          <w:tcPr>
            <w:tcW w:w="900" w:type="dxa"/>
            <w:tcBorders>
              <w:top w:val="nil"/>
              <w:left w:val="nil"/>
              <w:bottom w:val="nil"/>
              <w:right w:val="nil"/>
            </w:tcBorders>
            <w:shd w:val="clear" w:color="auto" w:fill="auto"/>
            <w:vAlign w:val="center"/>
          </w:tcPr>
          <w:p>
            <w:pP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77"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8"/>
                <w:szCs w:val="28"/>
                <w:highlight w:val="none"/>
                <w:u w:val="none"/>
                <w:lang w:val="en-US" w:eastAsia="zh-CN" w:bidi="ar"/>
              </w:rPr>
              <w:t>5楼大会议室音视频系统设备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设备名称</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技术参数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激光工程投影机</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一、技术要求:</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1.工程激光投影机、重量不小于7KG，支持360°安装。</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2.投影技术:3LCD、使用无机液晶面板。</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3.亮度≥7200流明，对比度≥2500000:1</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4.标准分辨率&gt;WUXGA(1920*1200)</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5.采用免维护高能效激光光源，内置反射式无机蒙光轮，标准模式寿命≥20000小时。</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6.防尘网保养周期(更换)≥20000小时，20000小时内免维护。</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7.专业工程镜头居中设计，≥1.6倍变焦，镜头投射比范围≥1.4-2.2</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8.接口要求:至少包含HDMI*2、VGA*2接口、232、USB等输入端口二、功能要求:</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1.支持几何校正(水平垂直梯形校正，点校正，弧形校正)，可对每个图像边角的线性进行单独调整、双信号源信号同屏显示功能。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2.支持自定义亮度输出，用户可以在亮度100%~70%之间进行精确到1%的亮度调节，同时还可以选择亮度恒定模式，保证使用期间亮度无衰减。</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3.快速开机功能、开机后5秒内完成信号画面投影功能。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三、其它要求:</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1.新投影机安装、线路整理、VGA接头维修维护、投影学码(含配件)。</w:t>
            </w:r>
          </w:p>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4"/>
                <w:szCs w:val="24"/>
                <w:highlight w:val="none"/>
              </w:rPr>
              <w:t xml:space="preserve"> ▲</w:t>
            </w:r>
            <w:r>
              <w:rPr>
                <w:rFonts w:hint="eastAsia" w:ascii="仿宋" w:hAnsi="仿宋" w:eastAsia="仿宋" w:cs="仿宋"/>
                <w:i w:val="0"/>
                <w:iCs w:val="0"/>
                <w:color w:val="000000"/>
                <w:kern w:val="0"/>
                <w:sz w:val="21"/>
                <w:szCs w:val="21"/>
                <w:highlight w:val="none"/>
                <w:u w:val="none"/>
                <w:lang w:val="en-US" w:eastAsia="zh-CN" w:bidi="ar"/>
              </w:rPr>
              <w:t>2.本次投标商所投产品必须为原厂产品，拒绝0EM产品，</w:t>
            </w:r>
            <w:r>
              <w:rPr>
                <w:rFonts w:hint="eastAsia" w:ascii="仿宋" w:hAnsi="仿宋" w:eastAsia="仿宋" w:cs="仿宋"/>
                <w:i w:val="0"/>
                <w:iCs w:val="0"/>
                <w:color w:val="000000"/>
                <w:kern w:val="0"/>
                <w:sz w:val="21"/>
                <w:szCs w:val="21"/>
                <w:highlight w:val="none"/>
                <w:u w:val="none"/>
                <w:lang w:eastAsia="zh-CN" w:bidi="ar"/>
              </w:rPr>
              <w:t>投标</w:t>
            </w:r>
            <w:r>
              <w:rPr>
                <w:rFonts w:hint="eastAsia" w:ascii="仿宋" w:hAnsi="仿宋" w:eastAsia="仿宋" w:cs="仿宋"/>
                <w:i w:val="0"/>
                <w:iCs w:val="0"/>
                <w:color w:val="000000"/>
                <w:kern w:val="0"/>
                <w:sz w:val="21"/>
                <w:szCs w:val="21"/>
                <w:highlight w:val="none"/>
                <w:u w:val="none"/>
                <w:lang w:val="en-US" w:eastAsia="zh-CN" w:bidi="ar"/>
              </w:rPr>
              <w:t>时需提供</w:t>
            </w:r>
            <w:r>
              <w:rPr>
                <w:rFonts w:hint="eastAsia" w:ascii="仿宋" w:hAnsi="仿宋" w:eastAsia="仿宋" w:cs="仿宋"/>
                <w:i w:val="0"/>
                <w:iCs w:val="0"/>
                <w:color w:val="000000"/>
                <w:kern w:val="0"/>
                <w:sz w:val="21"/>
                <w:szCs w:val="21"/>
                <w:highlight w:val="none"/>
                <w:u w:val="none"/>
                <w:lang w:eastAsia="zh-CN" w:bidi="ar"/>
              </w:rPr>
              <w:t>原厂</w:t>
            </w:r>
            <w:r>
              <w:rPr>
                <w:rFonts w:hint="eastAsia" w:ascii="仿宋" w:hAnsi="仿宋" w:eastAsia="仿宋" w:cs="仿宋"/>
                <w:i w:val="0"/>
                <w:iCs w:val="0"/>
                <w:color w:val="000000"/>
                <w:kern w:val="0"/>
                <w:sz w:val="21"/>
                <w:szCs w:val="21"/>
                <w:highlight w:val="none"/>
                <w:u w:val="none"/>
                <w:lang w:val="en-US" w:eastAsia="zh-CN" w:bidi="ar"/>
              </w:rPr>
              <w:t>(含光源)保修5年承诺函。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3.安装时投影机吊架需移位的，需修复吊顶安装孔、如需延长投影机连接线的，需整体更换讲台跟投影的连接线。</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4.含200寸专业投影幕布。</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无线投屏器</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50米传输高清视频，信号强</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无源全频音箱</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1.箱体采用大斑点水性油漆喷涂处理技术，前面采用有孔金属网背贴声学透声棉</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2.单元结构LF:12"低音×1，HF:1"高音×1</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3.频响范围：50Hz-18,000Hz</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4.灵敏度：≧98dB。</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5.最大声压级≧123dB</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6.输入阻抗8Ω</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7.额定功率≧350W</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8.指向性（H×V）90°H×40°V</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9.总波谐失真度：≦4%。</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10.为确保音箱设备生产厂家具备对产品的自主检测及质量复检实力，所投品牌厂商须具备通过JJF 1147-2006 消声室和半消声室声学特性校准规范校准的消音室，投标人应提供第三方权威机构出具的校准证书复印件并加盖投标人公章。</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主扩音箱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6"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无源全频音箱</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1.箱体采用大斑点水性油漆喷涂处理技术，前面采用有孔金属网背贴声学透声棉</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2.单元结构LF:10"低音×1，HF:1"高音×1</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3.频响范围(±3dB)：56 Hz -20,000Hz</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4.灵敏度（折算到1m，1W）：96dB±2dB</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5.最大声压级：≧118dB</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6.输入阻抗：8Ω</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7.额定功率：250W</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8.指向性（H×V）90°H×40°V</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9.为确保音箱设备生产厂家具备对产品的自主检测及质量复检实力，所投品牌厂商须具备通过JJF 1147-2006 消声室和半消声室声学特性校准规范校准的消音室，投标人应提供第三方权威机构出具的校准证书复印件并加盖投标人公章。</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辅助音箱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1"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专业立体声功放</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1.双声道立体声专业数字功率放大器，有双声道、单声道和BTL桥接三种输出方式供选择，输出方式开关选择；每声道音量可调；</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2.具有XLR平行输入输出接口，更适合专业设备的应用习惯；</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3.内置先进的电压压限，可以避免输入电压出现异常或过大导致功率输出异常，出现削波失真影响听音体验以及危害音箱的高音单元；</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4.具有常用接线柱和专业SPEAKON扬声器插座（只限于立体声工作模式）；</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5.中高频比模拟功放清晰，适合用于会议等多种不同场合的语言传输和扩声；</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6.各通道均配备LED工作状态指示；</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7.指示灯：“电源”, “削顶”, “信号”,“保护”,“温度”保护：超温、直流、短路、连续信号限制；</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8.多个功率级别的设计满足于不同场合的应用需求,每声道（8Ω）额定输出≥650W，每声道（4Ω）额定输出≥950W，桥接（8Ω）额定输出≥1900W；</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9.为保证系统安全稳定运行需满足以下要求:每声道（8Ω）失真限制的输出功率：≥650W；增益限制的有效频率范围：20-20000Hz；总谐波失真：≤0.5%；最小源电动势：≤1100mV；信噪比：≥95dB；（提供根据GB/T 12060.3-2011声系统设备关于声频放大器测量方式检测合格的检测报告复印件加盖投标人公章）</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主扩功放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1"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专业立体声功放</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1.双声道立体声专业数字功率放大器，有双声道、单声道和BTL桥接三种输出方式供选择，输出方式开关选择；每声道音量可调；</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2.具有XLR平行输入输出接口，更适合专业设备的应用习惯；</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3.内置先进的电压压限，可以避免输入电压出现异常或过大导致功率输出异常，出现削波失真影响听音体验以及危害音箱的高音单元；</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4.具有常用接线柱和专业SPEAKON扬声器插座（只限于立体声工作模式）；</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5.中高频比模拟功放清晰，适合用于会议等多种不同场合的语言传输和扩声；</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6.各通道均配备LED工作状态指示；</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7.指示灯：“电源”, “削顶”, “信号”,“保护”,“温度”保护：超温、直流、短路、连续信号限制；</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8.多个功率级别的设计满足于不同场合的应用需求,每声道（8Ω）额定输出≥400W，每声道（4Ω）额定输出≥700W，桥接（8Ω）额定输出≥1400W；</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9.为保证系统安全稳定运行需满足以下要求:每声道（8Ω）失真限制的输出功率：≥400W；增益限制的有效频率范围：20-20000Hz；总谐波失真：≤0.5%；最小源电动势：≤1100mV；信噪比：≥95dB；（提供根据GB/T 12060.3-2011声系统设备关于声频放大器测量方式检测合格的检测报告复印件并加盖投标人公章）</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辅助功放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支架</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1.全金属音箱壁架</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2.材料：钢材</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3.承重30公斤</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4.架子伸缩长度：210MM~390MM</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5.音箱支柱直径：35</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6.可左右调节角度，中间杆子可伸缩调节，架子稳重扎实，稳定性强</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专业音频处理器</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1.4路模拟输入8路模拟输出</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2.支持麦克风输入和线路输入自由切换</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3.每路输入带48V幻象电源，通过网页开关控制</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4.输入电平设置、信号发生器、噪声门、延时、压限器、限幅器</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5.每路输入带反馈抑制功能开关</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6.矩阵混音功能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7.TCP/IP，网页端进行各种参数调节控制</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8.RS-232、RS-485、GPIO接口提供完善的控制功能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9.输入5段PEQ可调，输出9段PEQ可调</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10.多种模式场景快速切换</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11.供电范围：AC100V---240V  50/60 Hz12.工作温度：-20℃--80℃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6"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调音台</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1.每通道具有均衡调节，MUTE静音开关，PFL耳机开关，平滑行程推子器；</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color w:val="auto"/>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2.具有≥10路XLR平衡单声道输入接口、2路立体声输入接口、2个编组输出接口、2组AUX输出接口、1组返回接口、1组监听耳机输出接口；（提供第三方检测报告复印件并加盖投标人公章）</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3.具有USB、蓝牙音频播放功能，支持MP3、MAV音频格式；</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4.具有48V幻象供电功能；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5.具有DSP数字效果器；</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6.具有LED显示屏清淅显示播放状态;</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7.支持USB录音、也可连电脑播放音乐；</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8.XLR平衡输入话放噪声极低，超低噪音线路设计，动态余量大；</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1"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专业自动反馈抑制器</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1.支持卡侬(XLR)平衡输入输出，单端(RCA)非平衡输入输出，不小于2路线路/话筒输入，不小于2路线路/话筒输出；</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2.内置高端高速浮点数字信号处理器和自适应反馈陷波处理算法技术；</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3.面板带有4*8段实时电平显示指示灯，精准显示输入/输出信号电平的大小；</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4.面板带有通道静音，旁路和滤波器重置的快速按钮；</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5.每路输入带不小于15个自适应陷波滤波器，可按需配置动态/固定滤波器数量；</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6.TCP/IP控制协议，连接PC电脑进行网页端进行各种详细参数的控制调节；</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7.支持多档位模拟音量调节(-18dBV ~ 12dBV)，最大输入电平(1%失真)10V，信噪比(0dBv)≥93dB；</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8.设备供电范围：AC100V---240V  50/60 Hz，功耗≤10W；</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真分集无线话筒（桌面式）</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1.采用UHF超高频段真分集接收方式，并采用PLL锁相环多信道频率合成技术，有效避免断频现象和延长接收距离，传输更稳定；</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2.采用红外线对频，每通道音量单独可调；</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3.支持平衡XLR输出和不平衡6.3mm输出；</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4.采用专业音频压缩-扩展技术，噪音小，尾音小,动态范围大；</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5.具有高保真音色,独特的干扰噪音静噪功能；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6.高档液晶显示屏，可显示频率、频道、静噪、电平等信息，人机对话一目了然；</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7.可锁定功能按键,防止在设置完成后意外更改系统设置；</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8.还原性好，接收距离远，空旷环境下可达300米，适用于大型广场、多功能厅、演出、及高端会场；</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9.系统内任何一支话筒与任何一台接收机都可对频；</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10.配套有1台接收主机和8个台式话筒；</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11.为保证系统安全稳定运行需满足以下要求:总谐波失真：≤1.7%；信噪比：≥64dB。（提供带“ilac-MRA/CNAS/CMA”标识的第三方检测报告复印件加盖投标人公章）</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一拖八麦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9"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真分集无线话筒（手持式）</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1.采用UHF超高频段真分集接收方式，并采用PLL锁相环多信道频率合成技术，有效避免断频现象和延长接收距离，传输更稳定；</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2.两个真分集模组一体化，每个模组两个加长L型天线，共4条天线，接收效果更好；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3.采用红外线对频，每通道音量单独可调；</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4.支持平衡XLR输出和不平衡6.3mm输出；</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5.采用专业音频压缩-扩展技术，噪音小，尾音小,动态范围大；</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6.具有高保真音色,独特的干扰噪音静噪功能；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7.高档液晶显示屏，可显示频率、频道、静噪、电平等信息，人机对话一目了然；</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8.可锁定功能按键,防止在设置完成后意外更改系统设置；</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9.系统内任何一支话筒与任何一台接收机都可对频，解决了固定频率麦克风不通用的缺点，适合多套产品在同一场合使用；</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10.还原性好，接收距离远，空旷环境下可达300米，适用于大型广场、多功能厅、演出、及高端会场；</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11.为保证系统安全稳定运行需满足以下要求:总谐波失真：≤2%；信噪比：≥61dB；（提供带“ilac-MRA/CNAS/CMA”标识的第三方检测报告复印件加盖投标人公章）。</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一拖四麦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电源时序器</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1.采用16A万能插座，能兼容全部产品电源接口，支持8路时序电源；</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2.采用液晶显示屏，可实时显示当前日期、时间、星期、每一通道的电能指标、通道开关状态及定时点信息等；</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3.内置高精度时钟芯片，可根据日期时间设定，无需人为操作，自动联网校时功能，让设备管理更简单；</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4.支持Web页面远程管理控制操作，实现远程集中控制；</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5.支持每路独立手动控制电源输出，也可一键开关控制8路电源从前到后输出，按设定间隔时间顺序开机，从后向前按设定间隔时间关机，间隔时间可调；</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6.可设置定时方案，每路通道均可设置定时开关时间，以及延时开关机，支持≥15个模式场景设置；</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7.支持电脑远程监控设备每个通道的当前电流、功率等参数；</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8.支持RS-232、RS-485串口控制协议，支持外部中央控制设备控制；</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eastAsia="zh-CN" w:bidi="ar"/>
              </w:rPr>
            </w:pPr>
            <w:r>
              <w:rPr>
                <w:rFonts w:hint="eastAsia" w:ascii="仿宋" w:hAnsi="仿宋" w:eastAsia="仿宋" w:cs="仿宋"/>
                <w:i w:val="0"/>
                <w:iCs w:val="0"/>
                <w:color w:val="000000"/>
                <w:kern w:val="0"/>
                <w:sz w:val="21"/>
                <w:szCs w:val="21"/>
                <w:highlight w:val="none"/>
                <w:u w:val="none"/>
                <w:lang w:val="en-US" w:eastAsia="zh-CN" w:bidi="ar"/>
              </w:rPr>
              <w:t>9.支持场景调用，可保存多种情景下每路开关状态，方便快速调用；</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10.支持特设欠压、超压检测及报警功能，最大输入电流60A，单路最大输出电流16A，工作电压95V-240V；</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11.支持每路设置“电流上限”、“电流下限”、开启“断电保护”功能；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12.设备电源输入采用接线柱接线方式，配置63A大电流空气开关；</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13.支持≥254台设备远距离级联功能；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14.工作电压:110V～240V；</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15.后面板8只受控16A万用插座可适应不同标准要求（万能座、欧标座、美标座）；</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16.插座标准: 兼容国标 6A、10A、16A、英标 13A、美标 15A、欧标 G/M 插头；</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17.工作电压:110V～240V；</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卡侬头（母）-卡侬头（公）</w:t>
            </w:r>
          </w:p>
        </w:tc>
        <w:tc>
          <w:tcPr>
            <w:tcW w:w="6911"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1.2M卡侬头（母）-卡侬头（公）</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扩声设备间跳线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莲花-话筒插头</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1.2M莲花（RCA）-6.35话筒插头</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无线路由器</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1.5G无线路由器，双频（2.4GHz，5GHz），最大连接数不小于128个，支持Wi-Fi 6+ ；</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2.外置4天线 天线增益不小于5dbi；</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3.存储：运行内存（RAM）+ 机身内存（ROM）不小于256 MB RAM + 128 MB ROM；</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4.按键：支持HiLink一键配对，兼容WPS；</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5.复位按键：独立Reset复位按键；</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6.Wi-Fi模式：支持穿墙、标准、睡眠三种模式；</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7.WAN 和 LAN 接口自适应，入户网线可以插任意一个网口。</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8.含会议室网络连接布线。</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77"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sz w:val="24"/>
                <w:szCs w:val="24"/>
                <w:highlight w:val="none"/>
              </w:rPr>
              <w:t>▲</w:t>
            </w:r>
            <w:r>
              <w:rPr>
                <w:rFonts w:hint="eastAsia" w:ascii="仿宋" w:hAnsi="仿宋" w:eastAsia="仿宋" w:cs="仿宋"/>
                <w:sz w:val="21"/>
                <w:szCs w:val="21"/>
                <w:highlight w:val="none"/>
              </w:rPr>
              <w:t>评标结束后，第一成交候选人需在3个日历天内向采购人提供所有产品原厂质保函和技术参数内所列的第三方检测报告复印件并盖原厂公章核验，经采购人核验无误后，发布成交结果公告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77"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sz w:val="24"/>
                <w:szCs w:val="24"/>
                <w:highlight w:val="none"/>
              </w:rPr>
              <w:t>▲</w:t>
            </w:r>
            <w:r>
              <w:rPr>
                <w:rFonts w:hint="eastAsia" w:ascii="仿宋" w:hAnsi="仿宋" w:eastAsia="仿宋" w:cs="仿宋"/>
                <w:i w:val="0"/>
                <w:iCs w:val="0"/>
                <w:color w:val="000000"/>
                <w:kern w:val="0"/>
                <w:sz w:val="21"/>
                <w:szCs w:val="21"/>
                <w:highlight w:val="none"/>
                <w:u w:val="none"/>
                <w:lang w:val="en-US" w:eastAsia="zh-CN" w:bidi="ar"/>
              </w:rPr>
              <w:t>采购的音箱、功放、话筒、调音台、处理器、电源时序器须为同一品牌，中标方提供制造商厂家授权函以及售后服务承诺函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77"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1"/>
                <w:szCs w:val="21"/>
                <w:highlight w:val="none"/>
              </w:rPr>
              <w:t>交货期</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合同签订后,</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u w:val="none"/>
                <w:lang w:val="en-US" w:eastAsia="zh-CN"/>
              </w:rPr>
              <w:t>日历天</w:t>
            </w:r>
            <w:r>
              <w:rPr>
                <w:rFonts w:hint="eastAsia" w:ascii="仿宋" w:hAnsi="仿宋" w:eastAsia="仿宋" w:cs="仿宋"/>
                <w:sz w:val="21"/>
                <w:szCs w:val="21"/>
                <w:highlight w:val="none"/>
              </w:rPr>
              <w:t>内,将货物运达</w:t>
            </w:r>
            <w:r>
              <w:rPr>
                <w:rFonts w:hint="eastAsia" w:ascii="仿宋" w:hAnsi="仿宋" w:eastAsia="仿宋" w:cs="仿宋"/>
                <w:sz w:val="21"/>
                <w:szCs w:val="21"/>
                <w:highlight w:val="none"/>
                <w:lang w:val="en-US" w:eastAsia="zh-CN"/>
              </w:rPr>
              <w:t>采购人</w:t>
            </w:r>
            <w:r>
              <w:rPr>
                <w:rFonts w:hint="eastAsia" w:ascii="仿宋" w:hAnsi="仿宋" w:eastAsia="仿宋" w:cs="仿宋"/>
                <w:sz w:val="21"/>
                <w:szCs w:val="21"/>
                <w:highlight w:val="none"/>
              </w:rPr>
              <w:t>指定地</w:t>
            </w:r>
            <w:r>
              <w:rPr>
                <w:rFonts w:hint="eastAsia" w:ascii="仿宋" w:hAnsi="仿宋" w:eastAsia="仿宋" w:cs="仿宋"/>
                <w:sz w:val="21"/>
                <w:szCs w:val="21"/>
                <w:highlight w:val="none"/>
                <w:lang w:val="en-US" w:eastAsia="zh-CN"/>
              </w:rPr>
              <w:t>并完成安装调试</w:t>
            </w:r>
          </w:p>
        </w:tc>
      </w:tr>
    </w:tbl>
    <w:p>
      <w:pPr>
        <w:rPr>
          <w:rFonts w:hint="eastAsia"/>
          <w:highlight w:val="none"/>
        </w:rPr>
      </w:pPr>
    </w:p>
    <w:p>
      <w:pPr>
        <w:pStyle w:val="9"/>
        <w:spacing w:line="360" w:lineRule="auto"/>
        <w:jc w:val="center"/>
        <w:outlineLvl w:val="0"/>
        <w:rPr>
          <w:rFonts w:hint="eastAsia" w:ascii="仿宋" w:hAnsi="仿宋" w:eastAsia="仿宋" w:cs="仿宋"/>
          <w:b/>
          <w:kern w:val="2"/>
          <w:sz w:val="28"/>
          <w:szCs w:val="28"/>
          <w:highlight w:val="none"/>
          <w:lang w:val="en-US" w:eastAsia="zh-CN" w:bidi="ar-SA"/>
        </w:rPr>
      </w:pPr>
      <w:bookmarkStart w:id="112" w:name="_Toc1031"/>
      <w:bookmarkStart w:id="113" w:name="_Toc30669"/>
      <w:bookmarkStart w:id="114" w:name="_Toc5809"/>
      <w:bookmarkStart w:id="115" w:name="_Toc21384"/>
      <w:bookmarkStart w:id="116" w:name="_Toc7147"/>
      <w:bookmarkStart w:id="117" w:name="_Toc4349"/>
      <w:bookmarkStart w:id="118" w:name="_Toc29842"/>
      <w:bookmarkStart w:id="119" w:name="_Toc26646"/>
      <w:bookmarkStart w:id="120" w:name="_Toc29314"/>
    </w:p>
    <w:p>
      <w:pPr>
        <w:pStyle w:val="9"/>
        <w:spacing w:line="360" w:lineRule="auto"/>
        <w:jc w:val="center"/>
        <w:outlineLvl w:val="0"/>
        <w:rPr>
          <w:rFonts w:hint="eastAsia" w:ascii="仿宋" w:hAnsi="仿宋" w:eastAsia="仿宋" w:cs="仿宋"/>
          <w:b/>
          <w:bCs/>
          <w:sz w:val="32"/>
          <w:szCs w:val="32"/>
          <w:highlight w:val="none"/>
        </w:rPr>
      </w:pPr>
      <w:r>
        <w:rPr>
          <w:rFonts w:hint="eastAsia" w:ascii="仿宋" w:hAnsi="仿宋" w:eastAsia="仿宋" w:cs="仿宋"/>
          <w:b/>
          <w:kern w:val="2"/>
          <w:sz w:val="28"/>
          <w:szCs w:val="28"/>
          <w:highlight w:val="none"/>
          <w:lang w:val="en-US" w:eastAsia="zh-CN" w:bidi="ar-SA"/>
        </w:rPr>
        <w:t>第四章 合同</w:t>
      </w:r>
      <w:bookmarkEnd w:id="112"/>
      <w:bookmarkEnd w:id="113"/>
      <w:bookmarkEnd w:id="114"/>
      <w:bookmarkEnd w:id="115"/>
      <w:bookmarkEnd w:id="116"/>
      <w:bookmarkEnd w:id="117"/>
      <w:bookmarkEnd w:id="118"/>
      <w:bookmarkEnd w:id="119"/>
      <w:bookmarkEnd w:id="120"/>
      <w:r>
        <w:rPr>
          <w:rFonts w:hint="eastAsia" w:ascii="仿宋" w:hAnsi="仿宋" w:eastAsia="仿宋" w:cs="仿宋"/>
          <w:b/>
          <w:kern w:val="2"/>
          <w:sz w:val="28"/>
          <w:szCs w:val="28"/>
          <w:highlight w:val="none"/>
          <w:lang w:val="en-US" w:eastAsia="zh-CN" w:bidi="ar-SA"/>
        </w:rPr>
        <w:t>主要条款</w:t>
      </w:r>
    </w:p>
    <w:p>
      <w:pPr>
        <w:ind w:left="-121" w:leftChars="-171" w:hanging="238" w:hangingChars="74"/>
        <w:jc w:val="center"/>
        <w:rPr>
          <w:rFonts w:hint="eastAsia" w:ascii="仿宋" w:hAnsi="仿宋" w:eastAsia="仿宋" w:cs="仿宋"/>
          <w:b/>
          <w:spacing w:val="-20"/>
          <w:sz w:val="36"/>
          <w:szCs w:val="36"/>
          <w:highlight w:val="none"/>
        </w:rPr>
      </w:pPr>
      <w:r>
        <w:rPr>
          <w:rFonts w:hint="eastAsia" w:ascii="仿宋" w:hAnsi="仿宋" w:eastAsia="仿宋" w:cs="仿宋"/>
          <w:b/>
          <w:spacing w:val="-20"/>
          <w:sz w:val="36"/>
          <w:szCs w:val="36"/>
          <w:highlight w:val="none"/>
        </w:rPr>
        <w:t>（本协议/合同仅供参考，正式签订时双方协议调整）</w:t>
      </w:r>
    </w:p>
    <w:p>
      <w:pPr>
        <w:ind w:left="-121" w:leftChars="-171" w:hanging="238" w:hangingChars="74"/>
        <w:jc w:val="center"/>
        <w:rPr>
          <w:rFonts w:hint="eastAsia" w:ascii="仿宋" w:hAnsi="仿宋" w:eastAsia="仿宋" w:cs="仿宋"/>
          <w:b/>
          <w:spacing w:val="-20"/>
          <w:sz w:val="36"/>
          <w:szCs w:val="36"/>
          <w:highlight w:val="none"/>
        </w:rPr>
      </w:pPr>
    </w:p>
    <w:p>
      <w:pPr>
        <w:pStyle w:val="1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甲方（采购单位）：                             </w:t>
      </w:r>
    </w:p>
    <w:p>
      <w:pPr>
        <w:pStyle w:val="1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乙方（供应商）：                                </w:t>
      </w:r>
    </w:p>
    <w:p>
      <w:pPr>
        <w:pStyle w:val="1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甲乙双方根据</w:t>
      </w:r>
      <w:r>
        <w:rPr>
          <w:rFonts w:hint="eastAsia" w:ascii="仿宋" w:hAnsi="仿宋" w:eastAsia="仿宋" w:cs="仿宋"/>
          <w:b w:val="0"/>
          <w:bCs w:val="0"/>
          <w:sz w:val="24"/>
          <w:szCs w:val="24"/>
          <w:highlight w:val="none"/>
          <w:lang w:eastAsia="zh-CN"/>
        </w:rPr>
        <w:t>招标</w:t>
      </w:r>
      <w:r>
        <w:rPr>
          <w:rFonts w:hint="eastAsia" w:ascii="仿宋" w:hAnsi="仿宋" w:eastAsia="仿宋" w:cs="仿宋"/>
          <w:b w:val="0"/>
          <w:bCs w:val="0"/>
          <w:sz w:val="24"/>
          <w:szCs w:val="24"/>
          <w:highlight w:val="none"/>
        </w:rPr>
        <w:t>文件、响应文件的规定，并经双方协商一致，达成本采购合同，</w:t>
      </w:r>
      <w:r>
        <w:rPr>
          <w:rFonts w:hint="eastAsia" w:ascii="仿宋" w:hAnsi="仿宋" w:eastAsia="仿宋" w:cs="仿宋"/>
          <w:b w:val="0"/>
          <w:bCs w:val="0"/>
          <w:sz w:val="24"/>
          <w:szCs w:val="24"/>
          <w:highlight w:val="none"/>
          <w:lang w:val="en-US" w:eastAsia="zh-CN"/>
        </w:rPr>
        <w:t>招标</w:t>
      </w:r>
      <w:r>
        <w:rPr>
          <w:rFonts w:hint="eastAsia" w:ascii="仿宋" w:hAnsi="仿宋" w:eastAsia="仿宋" w:cs="仿宋"/>
          <w:b w:val="0"/>
          <w:bCs w:val="0"/>
          <w:sz w:val="24"/>
          <w:szCs w:val="24"/>
          <w:highlight w:val="none"/>
        </w:rPr>
        <w:t>文件、响应文件以及甲、乙双方商定经甲方确认后的补充协议构成本合同不可分割的部分。</w:t>
      </w:r>
    </w:p>
    <w:p>
      <w:pPr>
        <w:pStyle w:val="12"/>
        <w:keepNext w:val="0"/>
        <w:keepLines w:val="0"/>
        <w:pageBreakBefore w:val="0"/>
        <w:widowControl w:val="0"/>
        <w:kinsoku/>
        <w:wordWrap/>
        <w:overflowPunct/>
        <w:topLinePunct w:val="0"/>
        <w:autoSpaceDE/>
        <w:autoSpaceDN/>
        <w:bidi w:val="0"/>
        <w:adjustRightInd/>
        <w:snapToGrid/>
        <w:spacing w:before="0" w:after="0" w:line="360" w:lineRule="auto"/>
        <w:ind w:firstLine="402" w:firstLineChars="200"/>
        <w:textAlignment w:val="auto"/>
        <w:rPr>
          <w:rFonts w:hint="eastAsia"/>
          <w:highlight w:val="none"/>
        </w:rPr>
      </w:pPr>
      <w:r>
        <w:rPr>
          <w:rFonts w:hint="eastAsia"/>
          <w:highlight w:val="none"/>
          <w:lang w:val="en-US" w:eastAsia="zh-CN"/>
        </w:rPr>
        <w:t>一、</w:t>
      </w:r>
      <w:r>
        <w:rPr>
          <w:rFonts w:hint="eastAsia"/>
          <w:highlight w:val="none"/>
        </w:rPr>
        <w:t>采购内容及要求</w:t>
      </w:r>
    </w:p>
    <w:p>
      <w:pPr>
        <w:rPr>
          <w:rFonts w:hint="eastAsia"/>
          <w:highlight w:val="none"/>
        </w:rPr>
      </w:pPr>
    </w:p>
    <w:tbl>
      <w:tblPr>
        <w:tblStyle w:val="16"/>
        <w:tblW w:w="10594" w:type="dxa"/>
        <w:tblInd w:w="-3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2165"/>
        <w:gridCol w:w="5400"/>
        <w:gridCol w:w="769"/>
        <w:gridCol w:w="666"/>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序号</w:t>
            </w: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产品名称</w:t>
            </w:r>
          </w:p>
        </w:tc>
        <w:tc>
          <w:tcPr>
            <w:tcW w:w="5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要求</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单位</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数量</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3楼大会议室音频系统设备</w:t>
            </w:r>
          </w:p>
        </w:tc>
        <w:tc>
          <w:tcPr>
            <w:tcW w:w="5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bCs/>
                <w:sz w:val="24"/>
                <w:szCs w:val="24"/>
                <w:highlight w:val="none"/>
              </w:rPr>
              <w:t>▲</w:t>
            </w:r>
            <w:r>
              <w:rPr>
                <w:rFonts w:hint="eastAsia" w:ascii="仿宋" w:hAnsi="仿宋" w:eastAsia="仿宋" w:cs="仿宋"/>
                <w:i w:val="0"/>
                <w:iCs w:val="0"/>
                <w:color w:val="000000"/>
                <w:kern w:val="0"/>
                <w:sz w:val="21"/>
                <w:szCs w:val="21"/>
                <w:highlight w:val="none"/>
                <w:u w:val="none"/>
                <w:lang w:val="en-US" w:eastAsia="zh-CN" w:bidi="ar"/>
              </w:rPr>
              <w:t>采购设备质保3年，含设备安装、调试费</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批</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5楼大会议室音视频系统设备</w:t>
            </w:r>
          </w:p>
        </w:tc>
        <w:tc>
          <w:tcPr>
            <w:tcW w:w="5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bCs/>
                <w:sz w:val="24"/>
                <w:szCs w:val="24"/>
                <w:highlight w:val="none"/>
              </w:rPr>
              <w:t>▲</w:t>
            </w:r>
            <w:r>
              <w:rPr>
                <w:rFonts w:hint="eastAsia" w:ascii="仿宋" w:hAnsi="仿宋" w:eastAsia="仿宋" w:cs="仿宋"/>
                <w:i w:val="0"/>
                <w:iCs w:val="0"/>
                <w:color w:val="000000"/>
                <w:kern w:val="0"/>
                <w:sz w:val="21"/>
                <w:szCs w:val="21"/>
                <w:highlight w:val="none"/>
                <w:u w:val="none"/>
                <w:lang w:val="en-US" w:eastAsia="zh-CN" w:bidi="ar"/>
              </w:rPr>
              <w:t>采购设备激光投影仪质保5年，其他设备质保3年，含设备安装、调试费</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批</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 w:hAnsi="仿宋" w:eastAsia="仿宋" w:cs="仿宋"/>
                <w:i w:val="0"/>
                <w:iCs w:val="0"/>
                <w:color w:val="000000"/>
                <w:sz w:val="21"/>
                <w:szCs w:val="21"/>
                <w:highlight w:val="none"/>
                <w:u w:val="none"/>
              </w:rPr>
            </w:pPr>
          </w:p>
        </w:tc>
      </w:tr>
    </w:tbl>
    <w:p>
      <w:pPr>
        <w:rPr>
          <w:rFonts w:hint="eastAsia"/>
          <w:highlight w:val="none"/>
        </w:rPr>
      </w:pPr>
    </w:p>
    <w:tbl>
      <w:tblPr>
        <w:tblStyle w:val="16"/>
        <w:tblW w:w="10577"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050"/>
        <w:gridCol w:w="6911"/>
        <w:gridCol w:w="525"/>
        <w:gridCol w:w="525"/>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577"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8"/>
                <w:szCs w:val="28"/>
                <w:highlight w:val="none"/>
                <w:u w:val="none"/>
                <w:lang w:val="en-US" w:eastAsia="zh-CN" w:bidi="ar"/>
              </w:rPr>
              <w:t>3楼大会议室音频系统设备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设备名称</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技术参数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专业立体声功放</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1.双声道立体声专业数字功率放大器，有双声道、单声道和BTL桥接三种输出方式供选择，输出方式开关选择；每声道音量可调；</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2.具有XLR平行输入输出接口，更适合专业设备的应用习惯；</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3.内置先进的电压压限，可以避免输入电压出现异常或过大导致功率输出异常，出现削波失真影响听音体验以及危害音箱的高音单元；</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4.具有常用接线柱和专业SPEAKON扬声器插座（只限于立体声工作模式）；</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5.中高频比模拟功放清晰，适合用于会议等多种不同场合的语言传输和扩声；</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6.各通道均配备LED工作状态指示；</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7.指示灯：“电源”, “削顶”,“信号”,“保护”,“温度”保护：超温、直流、短路、连续信号限制；</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8.多个功率级别的设计满足于不同场合的应用需求,每声道（8Ω）额定输出≥300W，每声道（4Ω）额定输出≥450W，桥接（8Ω）额定输出≥900W；</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9.为保证系统安全稳定运行需满足以下要求:每声道（8Ω）失真限制的输出功率：≥300W；增益限制的有效频率范围：20-20000Hz；总谐波失真：≤0.5%；最小源电动势：≤1100mV；信噪比：≥95dB；（提供根据GB/T 12060.3-2011声系统设备关于声频放大器测量方式检测合格的检测报告复印件加盖投标人公章）</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调音台</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1.每通道具有均衡调节，MUTE静音开关，PFL耳机开关，平滑行程推子器；</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color w:val="auto"/>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2.具有≥10路XLR平衡单声道输入接口、2路立体声输入接口、2个编组输出接口、2组AUX输出接口、1组返回接口、1组监听耳机输出接口；（提供第三方检测报告复印件并加盖投标人公章）</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3.具有USB、蓝牙音频播放功能，支持MP3、MAV音频格式；</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4.具有48V幻象供电功能；</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5.具有DSP数字效果器；</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6.具有LED显示屏清淅显示播放状态;</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7.支持USB录音、也可连电脑播放音乐；</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8.XLR平衡输入话放噪声极低，超低噪音线路设计，动态余量大；</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专业自动反馈抑制器</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1.支持卡侬(XLR)平衡输入输出，单端(RCA)非平衡输入输出，不小于2路线路/话筒输入，不小于2路线路/话筒输出；</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2.内置高端高速浮点数字信号处理器和自适应反馈陷波处理算法技术；</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3.面板带有4*8段实时电平显示指示灯，精准显示输入/输出信号电平的大小；</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4.面板带有通道静音，旁路和滤波器重置的快速按钮；</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5.每路输入带不小于15个自适应陷波滤波器，可按需配置动态/固定滤波器数量；</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6.TCP/IP控制协议，连接PC电脑进行网页端进行各种详细参数的控制调节；</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7.支持多档位模拟音量调节(-18dBV ~12dBV)，最大输入电平(1%失真)10V，信噪比(0dBv)≥93dB；</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8.设备供电范围：AC100V---240V  50/60 Hz，功耗≤10W；</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真分集无线话筒（桌面式）</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1.采用UHF超高频段真分集接收方式，并采用PLL锁相环多信道频率合成技术，有效避免断频现象和延长接收距离，传输更稳定；</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2.采用红外线对频，每通道音量单独可调；</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3.支持平衡XLR输出和不平衡6.3mm输出；</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4.采用专业音频压缩-扩展技术，噪音小，尾音小,动态范围大；</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5.具有高保真音色,独特的干扰噪音静噪功能；</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6.高档液晶显示屏，可显示频率、频道、静噪、电平等信息，人机对话一目了然；</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7.可锁定功能按键,防止在设置完成后意外更改系统设置；</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8.还原性好，接收距离远，空旷环境下可达300米，适用于大型广场、多功能厅、演出、及高端会场；</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9.系统内任何一支话筒与任何一台接收机都可对频；</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10.配套有1台接收主机和8个台式话筒；</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11.为保证系统安全稳定运行需满足以下要求:总谐波失真：≤1.7%；信噪比：≥64dB。（提供带“ilac-MRA/CNAS/CMA”标识的第三方检测报告复印件加盖投标人公章）</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一拖八座麦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电源时序器</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1.支持独立的八路大功率电源输出，万能插座，可满足多种三级的电源插座，如国标插座、美标插座以及欧标插座等，还可满足二级欧式的圆头插座；</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2.支持控制和显示八路通道开关状态，可通过面板一键开关时序关启通道；</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3.支持开机时由前级到后级按顺序逐个启动各类设备，关机时由后级到前级逐个关闭各个设备，有效的统一管理控制用电设备，确保整个系统的稳定运行；</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4.单路负荷10A</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5.电源容量:总容量220V，不小于16A</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6.输入电源:AC220-240/50Hz</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7.支持短路信号触发控制：电源开关处于关闭状态时，从TIMER IN口接入短路信号输入，会顺序激活8路电源输出。</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8.电源输出顺序间隔时间:0.4-0.5s。</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9.控制方式：手动顺序启动、外接短路信号触发启动</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卡侬头（母）-卡侬头（公）</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1.2M卡侬头（母）-卡侬头（公）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扩声设备间跳线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莲花-话筒插头</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1.2M莲花（RCA）-6.35话筒插头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无线路由器</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1.5G无线路由器，双频（2.4GHz，5GHz），最大连接数不小于128个，支持Wi-Fi6+；</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2.外置4天线 天线增益不小于5dbi；</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3.存储：运行内存（RAM）+ 机身内存（ROM）不小于256 MB RAM + 128 MB ROM；</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4.按键：支持HiLink一键配对，兼容WPS；</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5.复位按键：独立Reset复位按键；</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6.Wi-Fi模式：支持穿墙、标准、睡眠三种模式；</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7.WAN 和 LAN 接口自适应，入户网线可以插任意一个网口。</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8.含会议室网络连接布线。</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6" w:type="dxa"/>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1"/>
                <w:szCs w:val="21"/>
                <w:highlight w:val="none"/>
                <w:u w:val="none"/>
              </w:rPr>
            </w:pPr>
          </w:p>
        </w:tc>
        <w:tc>
          <w:tcPr>
            <w:tcW w:w="1050" w:type="dxa"/>
            <w:tcBorders>
              <w:top w:val="nil"/>
              <w:left w:val="nil"/>
              <w:bottom w:val="nil"/>
              <w:right w:val="nil"/>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6911"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1"/>
                <w:szCs w:val="21"/>
                <w:highlight w:val="none"/>
                <w:u w:val="none"/>
              </w:rPr>
            </w:pPr>
          </w:p>
        </w:tc>
        <w:tc>
          <w:tcPr>
            <w:tcW w:w="525" w:type="dxa"/>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1"/>
                <w:szCs w:val="21"/>
                <w:highlight w:val="none"/>
                <w:u w:val="none"/>
              </w:rPr>
            </w:pPr>
          </w:p>
        </w:tc>
        <w:tc>
          <w:tcPr>
            <w:tcW w:w="525" w:type="dxa"/>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1"/>
                <w:szCs w:val="21"/>
                <w:highlight w:val="none"/>
                <w:u w:val="none"/>
              </w:rPr>
            </w:pPr>
          </w:p>
        </w:tc>
        <w:tc>
          <w:tcPr>
            <w:tcW w:w="900" w:type="dxa"/>
            <w:tcBorders>
              <w:top w:val="nil"/>
              <w:left w:val="nil"/>
              <w:bottom w:val="nil"/>
              <w:right w:val="nil"/>
            </w:tcBorders>
            <w:shd w:val="clear" w:color="auto" w:fill="auto"/>
            <w:vAlign w:val="center"/>
          </w:tcPr>
          <w:p>
            <w:pP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77"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5楼大会议室音视频系统设备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设备名称</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技术参数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激光工程投影机</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一、技术要求:</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1.工程激光投影机、重量不小于7KG，支持360°安装。</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2.投影技术:3LCD、使用无机液晶面板。</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3.亮度≥7200流明，对比度≥2500000:1</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4.标准分辨率&gt;WUXGA(1920*1200)</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5.采用免维护高能效激光光源，内置反射式无机蒙光轮，标准模式寿命≥20000小时。</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6.防尘网保养周期(更换)≥20000小时，20000小时内免维护。</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7.专业工程镜头居中设计，≥1.6倍变焦，镜头投射比范围≥1.4-2.2</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8.接口要求:至少包含HDMI*2、VGA*2接口、232、USB等输入端口二、功能要求:</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1.支持几何校正(水平垂直梯形校正，点校正，弧形校正)，可对每个图像边角的线性进行单独调整、双信号源信号同屏显示功能。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2.支持自定义亮度输出，用户可以在亮度100%~70%之间进行精确到1%的亮度调节，同时还可以选择亮度恒定模式，保证使用期间亮度无衰减。</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3.快速开机功能、开机后5秒内完成信号画面投影功能。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三、其它要求:</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1.新投影机安装、线路整理、VGA接头维修维护、投影学码(含配件)。</w:t>
            </w:r>
          </w:p>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4"/>
                <w:szCs w:val="24"/>
                <w:highlight w:val="none"/>
              </w:rPr>
              <w:t xml:space="preserve"> ▲</w:t>
            </w:r>
            <w:r>
              <w:rPr>
                <w:rFonts w:hint="eastAsia" w:ascii="仿宋" w:hAnsi="仿宋" w:eastAsia="仿宋" w:cs="仿宋"/>
                <w:i w:val="0"/>
                <w:iCs w:val="0"/>
                <w:color w:val="000000"/>
                <w:kern w:val="0"/>
                <w:sz w:val="21"/>
                <w:szCs w:val="21"/>
                <w:highlight w:val="none"/>
                <w:u w:val="none"/>
                <w:lang w:val="en-US" w:eastAsia="zh-CN" w:bidi="ar"/>
              </w:rPr>
              <w:t>2.本次投标商所投产品必须为原厂产品，拒绝0EM产品，</w:t>
            </w:r>
            <w:r>
              <w:rPr>
                <w:rFonts w:hint="eastAsia" w:ascii="仿宋" w:hAnsi="仿宋" w:eastAsia="仿宋" w:cs="仿宋"/>
                <w:i w:val="0"/>
                <w:iCs w:val="0"/>
                <w:color w:val="000000"/>
                <w:kern w:val="0"/>
                <w:sz w:val="21"/>
                <w:szCs w:val="21"/>
                <w:highlight w:val="none"/>
                <w:u w:val="none"/>
                <w:lang w:eastAsia="zh-CN" w:bidi="ar"/>
              </w:rPr>
              <w:t>投标</w:t>
            </w:r>
            <w:r>
              <w:rPr>
                <w:rFonts w:hint="eastAsia" w:ascii="仿宋" w:hAnsi="仿宋" w:eastAsia="仿宋" w:cs="仿宋"/>
                <w:i w:val="0"/>
                <w:iCs w:val="0"/>
                <w:color w:val="000000"/>
                <w:kern w:val="0"/>
                <w:sz w:val="21"/>
                <w:szCs w:val="21"/>
                <w:highlight w:val="none"/>
                <w:u w:val="none"/>
                <w:lang w:val="en-US" w:eastAsia="zh-CN" w:bidi="ar"/>
              </w:rPr>
              <w:t>时需提供</w:t>
            </w:r>
            <w:r>
              <w:rPr>
                <w:rFonts w:hint="eastAsia" w:ascii="仿宋" w:hAnsi="仿宋" w:eastAsia="仿宋" w:cs="仿宋"/>
                <w:i w:val="0"/>
                <w:iCs w:val="0"/>
                <w:color w:val="000000"/>
                <w:kern w:val="0"/>
                <w:sz w:val="21"/>
                <w:szCs w:val="21"/>
                <w:highlight w:val="none"/>
                <w:u w:val="none"/>
                <w:lang w:eastAsia="zh-CN" w:bidi="ar"/>
              </w:rPr>
              <w:t>原厂</w:t>
            </w:r>
            <w:r>
              <w:rPr>
                <w:rFonts w:hint="eastAsia" w:ascii="仿宋" w:hAnsi="仿宋" w:eastAsia="仿宋" w:cs="仿宋"/>
                <w:i w:val="0"/>
                <w:iCs w:val="0"/>
                <w:color w:val="000000"/>
                <w:kern w:val="0"/>
                <w:sz w:val="21"/>
                <w:szCs w:val="21"/>
                <w:highlight w:val="none"/>
                <w:u w:val="none"/>
                <w:lang w:val="en-US" w:eastAsia="zh-CN" w:bidi="ar"/>
              </w:rPr>
              <w:t>(含光源)保修5年承诺函。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3.安装时投影机吊架需移位的，需修复吊顶安装孔、如需延长投影机连接线的，需整体更换讲台跟投影的连接线。</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4.含200寸专业投影幕布。</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无线投屏器</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50米传输高清视频，信号强</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无源全频音箱</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1.箱体采用大斑点水性油漆喷涂处理技术，前面采用有孔金属网背贴声学透声棉</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2.单元结构LF:12"低音×1，HF:1"高音×1</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3.频响范围：50Hz-18,000Hz</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4.灵敏度：≧98dB。</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5.最大声压级≧123dB</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6.输入阻抗8Ω</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7.额定功率≧350W</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8.指向性（H×V）90°H×40°V</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9.总波谐失真度：≦4%。</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10.为确保音箱设备生产厂家具备对产品的自主检测及质量复检实力，所投品牌厂商须具备通过JJF 1147-2006 消声室和半消声室声学特性校准规范校准的消音室，投标人应提供第三方权威机构出具的校准证书复印件并加盖投标人公章。</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主扩音箱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6"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无源全频音箱</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1.箱体采用大斑点水性油漆喷涂处理技术，前面采用有孔金属网背贴声学透声棉</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2.单元结构LF:10"低音×1，HF:1"高音×1</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3.频响范围(±3dB)：56 Hz -20,000Hz</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4.灵敏度（折算到1m，1W）：96dB±2dB</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5.最大声压级：≧118dB</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6.输入阻抗：8Ω</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7.额定功率：250W</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8.指向性（H×V）90°H×40°V</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9.为确保音箱设备生产厂家具备对产品的自主检测及质量复检实力，所投品牌厂商须具备通过JJF 1147-2006 消声室和半消声室声学特性校准规范校准的消音室，投标人应提供第三方权威机构出具的校准证书复印件并加盖投标人公章。</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辅助音箱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1"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专业立体声功放</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1.双声道立体声专业数字功率放大器，有双声道、单声道和BTL桥接三种输出方式供选择，输出方式开关选择；每声道音量可调；</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2.具有XLR平行输入输出接口，更适合专业设备的应用习惯；</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3.内置先进的电压压限，可以避免输入电压出现异常或过大导致功率输出异常，出现削波失真影响听音体验以及危害音箱的高音单元；</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4.具有常用接线柱和专业SPEAKON扬声器插座（只限于立体声工作模式）；</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5.中高频比模拟功放清晰，适合用于会议等多种不同场合的语言传输和扩声；</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6.各通道均配备LED工作状态指示；</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7.指示灯：“电源”, “削顶”, “信号”,“保护”,“温度”保护：超温、直流、短路、连续信号限制；</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8.多个功率级别的设计满足于不同场合的应用需求,每声道（8Ω）额定输出≥650W，每声道（4Ω）额定输出≥950W，桥接（8Ω）额定输出≥1900W；</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9.为保证系统安全稳定运行需满足以下要求:每声道（8Ω）失真限制的输出功率：≥650W；增益限制的有效频率范围：20-20000Hz；总谐波失真：≤0.5%；最小源电动势：≤1100mV；信噪比：≥95dB；（提供根据GB/T 12060.3-2011声系统设备关于声频放大器测量方式检测合格的检测报告复印件加盖投标人公章）</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主扩功放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1"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专业立体声功放</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1.双声道立体声专业数字功率放大器，有双声道、单声道和BTL桥接三种输出方式供选择，输出方式开关选择；每声道音量可调；</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2.具有XLR平行输入输出接口，更适合专业设备的应用习惯；</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3.内置先进的电压压限，可以避免输入电压出现异常或过大导致功率输出异常，出现削波失真影响听音体验以及危害音箱的高音单元；</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4.具有常用接线柱和专业SPEAKON扬声器插座（只限于立体声工作模式）；</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5.中高频比模拟功放清晰，适合用于会议等多种不同场合的语言传输和扩声；</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6.各通道均配备LED工作状态指示；</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7.指示灯：“电源”, “削顶”, “信号”,“保护”,“温度”保护：超温、直流、短路、连续信号限制；</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8.多个功率级别的设计满足于不同场合的应用需求,每声道（8Ω）额定输出≥400W，每声道（4Ω）额定输出≥700W，桥接（8Ω）额定输出≥1400W；</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9.为保证系统安全稳定运行需满足以下要求:每声道（8Ω）失真限制的输出功率：≥400W；增益限制的有效频率范围：20-20000Hz；总谐波失真：≤0.5%；最小源电动势：≤1100mV；信噪比：≥95dB；（提供根据GB/T 12060.3-2011声系统设备关于声频放大器测量方式检测合格的检测报告复印件并加盖投标人公章）</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辅助功放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支架</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1.全金属音箱壁架</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2.材料：钢材</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3.承重30公斤</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4.架子伸缩长度：210MM~390MM</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5.音箱支柱直径：35</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6.可左右调节角度，中间杆子可伸缩调节，架子稳重扎实，稳定性强</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专业音频处理器</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1.4路模拟输入8路模拟输出</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2.支持麦克风输入和线路输入自由切换</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3.每路输入带48V幻象电源，通过网页开关控制</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4.输入电平设置、信号发生器、噪声门、延时、压限器、限幅器</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5.每路输入带反馈抑制功能开关</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6.矩阵混音功能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7.TCP/IP，网页端进行各种参数调节控制</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8.RS-232、RS-485、GPIO接口提供完善的控制功能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9.输入5段PEQ可调，输出9段PEQ可调</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10.多种模式场景快速切换</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11.供电范围：AC100V---240V  50/60 Hz12.工作温度：-20℃--80℃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6"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调音台</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1.每通道具有均衡调节，MUTE静音开关，PFL耳机开关，平滑行程推子器；</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color w:val="auto"/>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2.具有≥10路XLR平衡单声道输入接口、2路立体声输入接口、2个编组输出接口、2组AUX输出接口、1组返回接口、1组监听耳机输出接口；（提供第三方检测报告复印件并加盖投标人公章）</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3.具有USB、蓝牙音频播放功能，支持MP3、MAV音频格式；</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4.具有48V幻象供电功能；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5.具有DSP数字效果器；</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6.具有LED显示屏清淅显示播放状态;</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7.支持USB录音、也可连电脑播放音乐；</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8.XLR平衡输入话放噪声极低，超低噪音线路设计，动态余量大；</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1"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专业自动反馈抑制器</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1.支持卡侬(XLR)平衡输入输出，单端(RCA)非平衡输入输出，不小于2路线路/话筒输入，不小于2路线路/话筒输出；</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2.内置高端高速浮点数字信号处理器和自适应反馈陷波处理算法技术；</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3.面板带有4*8段实时电平显示指示灯，精准显示输入/输出信号电平的大小；</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4.面板带有通道静音，旁路和滤波器重置的快速按钮；</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5.每路输入带不小于15个自适应陷波滤波器，可按需配置动态/固定滤波器数量；</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6.TCP/IP控制协议，连接PC电脑进行网页端进行各种详细参数的控制调节；</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7.支持多档位模拟音量调节(-18dBV ~ 12dBV)，最大输入电平(1%失真)10V，信噪比(0dBv)≥93dB；</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8.设备供电范围：AC100V---240V  50/60 Hz，功耗≤10W；</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真分集无线话筒（桌面式）</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1.采用UHF超高频段真分集接收方式，并采用PLL锁相环多信道频率合成技术，有效避免断频现象和延长接收距离，传输更稳定；</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2.采用红外线对频，每通道音量单独可调；</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3.支持平衡XLR输出和不平衡6.3mm输出；</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4.采用专业音频压缩-扩展技术，噪音小，尾音小,动态范围大；</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5.具有高保真音色,独特的干扰噪音静噪功能；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6.高档液晶显示屏，可显示频率、频道、静噪、电平等信息，人机对话一目了然；</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7.可锁定功能按键,防止在设置完成后意外更改系统设置；</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8.还原性好，接收距离远，空旷环境下可达300米，适用于大型广场、多功能厅、演出、及高端会场；</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9.系统内任何一支话筒与任何一台接收机都可对频；</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10.配套有1台接收主机和8个台式话筒；</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11.为保证系统安全稳定运行需满足以下要求:总谐波失真：≤1.7%；信噪比：≥64dB。（提供带“ilac-MRA/CNAS/CMA”标识的第三方检测报告复印件加盖投标人公章）</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一拖八麦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9"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真分集无线话筒（手持式）</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1.采用UHF超高频段真分集接收方式，并采用PLL锁相环多信道频率合成技术，有效避免断频现象和延长接收距离，传输更稳定；</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2.两个真分集模组一体化，每个模组两个加长L型天线，共4条天线，接收效果更好；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3.采用红外线对频，每通道音量单独可调；</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4.支持平衡XLR输出和不平衡6.3mm输出；</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5.采用专业音频压缩-扩展技术，噪音小，尾音小,动态范围大；</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6.具有高保真音色,独特的干扰噪音静噪功能；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7.高档液晶显示屏，可显示频率、频道、静噪、电平等信息，人机对话一目了然；</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8.可锁定功能按键,防止在设置完成后意外更改系统设置；</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9.系统内任何一支话筒与任何一台接收机都可对频，解决了固定频率麦克风不通用的缺点，适合多套产品在同一场合使用；</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10.还原性好，接收距离远，空旷环境下可达300米，适用于大型广场、多功能厅、演出、及高端会场；</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11.为保证系统安全稳定运行需满足以下要求:总谐波失真：≤2%；信噪比：≥61dB；（提供带“ilac-MRA/CNAS/CMA”标识的第三方检测报告复印件加盖投标人公章）。</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一拖四麦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电源时序器</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1.采用16A万能插座，能兼容全部产品电源接口，支持8路时序电源；</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2.采用液晶显示屏，可实时显示当前日期、时间、星期、每一通道的电能指标、通道开关状态及定时点信息等；</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3.内置高精度时钟芯片，可根据日期时间设定，无需人为操作，自动联网校时功能，让设备管理更简单；</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4.支持Web页面远程管理控制操作，实现远程集中控制；</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5.支持每路独立手动控制电源输出，也可一键开关控制8路电源从前到后输出，按设定间隔时间顺序开机，从后向前按设定间隔时间关机，间隔时间可调；</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6.可设置定时方案，每路通道均可设置定时开关时间，以及延时开关机，支持≥15个模式场景设置；</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7.支持电脑远程监控设备每个通道的当前电流、功率等参数；</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8.支持RS-232、RS-485串口控制协议，支持外部中央控制设备控制；</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eastAsia="zh-CN" w:bidi="ar"/>
              </w:rPr>
            </w:pPr>
            <w:r>
              <w:rPr>
                <w:rFonts w:hint="eastAsia" w:ascii="仿宋" w:hAnsi="仿宋" w:eastAsia="仿宋" w:cs="仿宋"/>
                <w:i w:val="0"/>
                <w:iCs w:val="0"/>
                <w:color w:val="000000"/>
                <w:kern w:val="0"/>
                <w:sz w:val="21"/>
                <w:szCs w:val="21"/>
                <w:highlight w:val="none"/>
                <w:u w:val="none"/>
                <w:lang w:val="en-US" w:eastAsia="zh-CN" w:bidi="ar"/>
              </w:rPr>
              <w:t>9.支持场景调用，可保存多种情景下每路开关状态，方便快速调用；</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10.支持特设欠压、超压检测及报警功能，最大输入电流60A，单路最大输出电流16A，工作电压95V-240V；</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11.支持每路设置“电流上限”、“电流下限”、开启“断电保护”功能；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12.设备电源输入采用接线柱接线方式，配置63A大电流空气开关；</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13.支持≥254台设备远距离级联功能；</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14.工作电压:110V～240V；</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15.后面板8只受控16A万用插座可适应不同标准要求（万能座、欧标座、美标座）；</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16.插座标准: 兼容国标 6A、10A、16A、英标 13A、美标 15A、欧标 G/M 插头；</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17.工作电压:110V～240V；</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卡侬头（母）-卡侬头（公）</w:t>
            </w:r>
          </w:p>
        </w:tc>
        <w:tc>
          <w:tcPr>
            <w:tcW w:w="6911"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1.2M卡侬头（母）-卡侬头（公）</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扩声设备间跳线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莲花-话筒插头</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1.2M莲花（RCA）-6.35话筒插头</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无线路由器</w:t>
            </w:r>
          </w:p>
        </w:tc>
        <w:tc>
          <w:tcPr>
            <w:tcW w:w="6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1.5G无线路由器，双频（2.4GHz，5GHz），最大连接数不小于128个，支持Wi-Fi 6+ ；</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2.外置4天线 天线增益不小于5dbi；</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3.存储：运行内存（RAM）+ 机身内存（ROM）不小于256 MB RAM + 128 MB ROM；</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4.按键：支持HiLink一键配对，兼容WPS；</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5.复位按键：独立Reset复位按键；</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6.Wi-Fi模式：支持穿墙、标准、睡眠三种模式；</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7.WAN 和 LAN 接口自适应，入户网线可以插任意一个网口。</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8.含会议室网络连接布线。</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77"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sz w:val="24"/>
                <w:szCs w:val="24"/>
                <w:highlight w:val="none"/>
              </w:rPr>
              <w:t>▲</w:t>
            </w:r>
            <w:r>
              <w:rPr>
                <w:rFonts w:hint="eastAsia" w:ascii="仿宋" w:hAnsi="仿宋" w:eastAsia="仿宋" w:cs="仿宋"/>
                <w:sz w:val="21"/>
                <w:szCs w:val="21"/>
                <w:highlight w:val="none"/>
              </w:rPr>
              <w:t>评标结束后，第一成交候选人需在3个日历天内向采购人提供所有产品原厂质保函和技术参数内所列的第三方检测报告复印件并盖原厂公章核验，经采购人核验无误后，发布成交结果公告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77"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sz w:val="24"/>
                <w:szCs w:val="24"/>
                <w:highlight w:val="none"/>
              </w:rPr>
              <w:t>▲</w:t>
            </w:r>
            <w:r>
              <w:rPr>
                <w:rFonts w:hint="eastAsia" w:ascii="仿宋" w:hAnsi="仿宋" w:eastAsia="仿宋" w:cs="仿宋"/>
                <w:i w:val="0"/>
                <w:iCs w:val="0"/>
                <w:color w:val="000000"/>
                <w:kern w:val="0"/>
                <w:sz w:val="21"/>
                <w:szCs w:val="21"/>
                <w:highlight w:val="none"/>
                <w:u w:val="none"/>
                <w:lang w:val="en-US" w:eastAsia="zh-CN" w:bidi="ar"/>
              </w:rPr>
              <w:t>采购的音箱、功放、话筒、调音台、处理器、电源时序器须为同一品牌，中标方提供制造商厂家授权函以及售后服务承诺函</w:t>
            </w:r>
          </w:p>
        </w:tc>
      </w:tr>
    </w:tbl>
    <w:p>
      <w:pPr>
        <w:rPr>
          <w:rFonts w:hint="eastAsia" w:eastAsia="宋体"/>
          <w:highlight w:val="none"/>
          <w:lang w:eastAsia="zh-CN"/>
        </w:rPr>
      </w:pPr>
    </w:p>
    <w:bookmarkEnd w:id="108"/>
    <w:bookmarkEnd w:id="109"/>
    <w:bookmarkEnd w:id="110"/>
    <w:bookmarkEnd w:id="111"/>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bookmarkStart w:id="121" w:name="_Toc3086"/>
      <w:bookmarkStart w:id="122" w:name="_Toc21572"/>
      <w:bookmarkStart w:id="123" w:name="_Toc21708"/>
      <w:bookmarkStart w:id="124" w:name="_Toc22156"/>
      <w:bookmarkStart w:id="125" w:name="_Toc27891"/>
      <w:bookmarkStart w:id="126" w:name="_Toc11902"/>
      <w:bookmarkStart w:id="127" w:name="_Toc20943"/>
      <w:bookmarkStart w:id="128" w:name="_Toc28598"/>
      <w:bookmarkStart w:id="129" w:name="_Toc31728"/>
      <w:bookmarkStart w:id="130" w:name="_Toc354491899"/>
      <w:bookmarkStart w:id="131" w:name="_Toc7688"/>
      <w:bookmarkStart w:id="132" w:name="_Toc322352985"/>
      <w:bookmarkStart w:id="133" w:name="_Toc31062"/>
      <w:bookmarkStart w:id="134" w:name="_Toc8469"/>
      <w:bookmarkStart w:id="135" w:name="_Toc25843"/>
      <w:bookmarkStart w:id="136" w:name="_Toc356371458"/>
      <w:bookmarkStart w:id="137" w:name="_Toc359856819"/>
      <w:r>
        <w:rPr>
          <w:rFonts w:hint="eastAsia" w:ascii="仿宋" w:hAnsi="仿宋" w:eastAsia="仿宋" w:cs="仿宋"/>
          <w:b w:val="0"/>
          <w:bCs w:val="0"/>
          <w:sz w:val="24"/>
          <w:szCs w:val="24"/>
          <w:highlight w:val="none"/>
          <w:lang w:val="zh-CN"/>
        </w:rPr>
        <w:t>3.交货安装时间要求：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合同签订后,</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zh-CN" w:eastAsia="zh-CN"/>
        </w:rPr>
        <w:t>日历天</w:t>
      </w:r>
      <w:r>
        <w:rPr>
          <w:rFonts w:hint="eastAsia" w:ascii="仿宋" w:hAnsi="仿宋" w:eastAsia="仿宋" w:cs="仿宋"/>
          <w:b w:val="0"/>
          <w:bCs w:val="0"/>
          <w:color w:val="auto"/>
          <w:sz w:val="24"/>
          <w:szCs w:val="24"/>
          <w:highlight w:val="none"/>
          <w:lang w:val="zh-CN"/>
        </w:rPr>
        <w:t>内,将货物运达</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lang w:val="zh-CN"/>
        </w:rPr>
        <w:t>指定地</w:t>
      </w:r>
      <w:r>
        <w:rPr>
          <w:rFonts w:hint="eastAsia" w:ascii="仿宋" w:hAnsi="仿宋" w:eastAsia="仿宋" w:cs="仿宋"/>
          <w:b w:val="0"/>
          <w:bCs w:val="0"/>
          <w:color w:val="auto"/>
          <w:sz w:val="24"/>
          <w:szCs w:val="24"/>
          <w:highlight w:val="none"/>
          <w:lang w:val="zh-CN" w:eastAsia="zh-CN"/>
        </w:rPr>
        <w:t>并完成安装调试</w:t>
      </w:r>
      <w:r>
        <w:rPr>
          <w:rFonts w:hint="eastAsia" w:ascii="仿宋" w:hAnsi="仿宋" w:eastAsia="仿宋" w:cs="仿宋"/>
          <w:b w:val="0"/>
          <w:bCs w:val="0"/>
          <w:color w:val="auto"/>
          <w:sz w:val="24"/>
          <w:szCs w:val="24"/>
          <w:highlight w:val="none"/>
          <w:lang w:val="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rPr>
        <w:t>4.质保期：</w:t>
      </w:r>
      <w:r>
        <w:rPr>
          <w:rFonts w:hint="eastAsia" w:ascii="仿宋" w:hAnsi="仿宋" w:eastAsia="仿宋" w:cs="仿宋"/>
          <w:b w:val="0"/>
          <w:bCs w:val="0"/>
          <w:color w:val="auto"/>
          <w:sz w:val="24"/>
          <w:szCs w:val="24"/>
          <w:highlight w:val="none"/>
          <w:lang w:val="zh-CN" w:eastAsia="zh-CN"/>
        </w:rPr>
        <w:t>激光投影仪质保</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zh-CN" w:eastAsia="zh-CN"/>
        </w:rPr>
        <w:t>年，其他设备质保</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zh-CN" w:eastAsia="zh-CN"/>
        </w:rPr>
        <w:t>年</w:t>
      </w:r>
      <w:r>
        <w:rPr>
          <w:rFonts w:hint="eastAsia" w:ascii="仿宋" w:hAnsi="仿宋" w:eastAsia="仿宋" w:cs="仿宋"/>
          <w:b w:val="0"/>
          <w:bCs w:val="0"/>
          <w:color w:val="auto"/>
          <w:sz w:val="24"/>
          <w:szCs w:val="24"/>
          <w:highlight w:val="none"/>
          <w:lang w:val="zh-CN"/>
        </w:rPr>
        <w:t>，</w:t>
      </w:r>
      <w:r>
        <w:rPr>
          <w:rFonts w:hint="eastAsia" w:ascii="仿宋" w:hAnsi="仿宋" w:eastAsia="仿宋" w:cs="仿宋"/>
          <w:b w:val="0"/>
          <w:bCs w:val="0"/>
          <w:color w:val="auto"/>
          <w:sz w:val="24"/>
          <w:szCs w:val="24"/>
          <w:highlight w:val="none"/>
          <w:lang w:val="en-US" w:eastAsia="zh-CN"/>
        </w:rPr>
        <w:t>质保期自验收合格之日起计</w:t>
      </w:r>
      <w:r>
        <w:rPr>
          <w:rFonts w:hint="eastAsia" w:ascii="仿宋" w:hAnsi="仿宋" w:eastAsia="仿宋" w:cs="仿宋"/>
          <w:b w:val="0"/>
          <w:bCs w:val="0"/>
          <w:color w:val="auto"/>
          <w:sz w:val="24"/>
          <w:szCs w:val="24"/>
          <w:highlight w:val="none"/>
          <w:lang w:val="zh-CN"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5.项目实施要求：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⑴产品运输、保险及保管</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①乙方负责将产品运输至项目地点（运输过程中的保险费用由乙方承担），并负责装卸及现场搬运等事项；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②乙方负责产品在项目地点的保管，直至项目验收合格并交付给甲方。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⑵验收</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①项目验收按技术要求执行，验收可能产生的费用均由乙方承担，验收合格的甲方出具正式的验收单；</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②验收过程中产生纠纷的，由质量技术监督部门认定的检测机构检测，如为乙方原因造成的，由乙方承担检测费用；</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③项目验收不合格，由乙方返工至合格，有关返工、再行验收以及给甲方造成的损失等费用由乙方承担。连续三次项目验收不合格的，甲方可终止合同，另行按规定选择其他供应商采购，由此带来的一切损失由乙方承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⑶质量保证</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乙方提供的产品应符合国家质量检测标准，具有出厂合格证或国家鉴定合格证。</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⑷售后服务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①提供7×24小时的故障受理服务，对重大故障提供7×24小时的现场支援，一般故障提供5×8小时的现场支援。</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②质保期内出现任何严重质量问题（人为破坏或自然灾害等不可抗力除外），由乙方负责免费（免全部工时费、材料费、管理费、财务费等）更换或维修。</w:t>
      </w:r>
      <w:r>
        <w:rPr>
          <w:rFonts w:hint="eastAsia" w:ascii="仿宋" w:hAnsi="仿宋" w:eastAsia="仿宋" w:cs="仿宋"/>
          <w:b w:val="0"/>
          <w:bCs w:val="0"/>
          <w:sz w:val="24"/>
          <w:szCs w:val="24"/>
          <w:highlight w:val="none"/>
          <w:lang w:val="en-US" w:eastAsia="zh-CN"/>
        </w:rPr>
        <w:t>质保期满后，无论甲方是否另行选择维保供应商，乙方应提供一定的维保优惠</w:t>
      </w:r>
      <w:r>
        <w:rPr>
          <w:rFonts w:hint="eastAsia" w:ascii="仿宋" w:hAnsi="仿宋" w:eastAsia="仿宋" w:cs="仿宋"/>
          <w:b w:val="0"/>
          <w:bCs w:val="0"/>
          <w:sz w:val="24"/>
          <w:szCs w:val="24"/>
          <w:highlight w:val="none"/>
          <w:lang w:val="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⑸履行合同地点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在甲方指定的地点完成。</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 xml:space="preserve">二、履约保证金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sz w:val="24"/>
          <w:szCs w:val="24"/>
          <w:highlight w:val="none"/>
          <w:lang w:val="zh-CN"/>
        </w:rPr>
        <w:t>合同签订前，乙方向甲方交纳</w:t>
      </w:r>
      <w:r>
        <w:rPr>
          <w:rFonts w:hint="eastAsia" w:ascii="仿宋" w:hAnsi="仿宋" w:eastAsia="仿宋" w:cs="仿宋"/>
          <w:b w:val="0"/>
          <w:bCs w:val="0"/>
          <w:color w:val="auto"/>
          <w:sz w:val="24"/>
          <w:szCs w:val="24"/>
          <w:highlight w:val="none"/>
          <w:lang w:val="zh-CN"/>
        </w:rPr>
        <w:t>2000元的履约保证金（以现金、电汇、银行转账或保函的形式）。现金、电汇、银行转账形式交纳的履约保证金，合同履行完毕且验收合格后</w:t>
      </w:r>
      <w:r>
        <w:rPr>
          <w:rFonts w:hint="eastAsia" w:ascii="仿宋" w:hAnsi="仿宋" w:eastAsia="仿宋" w:cs="仿宋"/>
          <w:b w:val="0"/>
          <w:bCs w:val="0"/>
          <w:sz w:val="24"/>
          <w:szCs w:val="24"/>
          <w:highlight w:val="none"/>
          <w:lang w:val="zh-CN"/>
        </w:rPr>
        <w:t>乙方</w:t>
      </w:r>
      <w:r>
        <w:rPr>
          <w:rFonts w:hint="eastAsia" w:ascii="仿宋" w:hAnsi="仿宋" w:eastAsia="仿宋" w:cs="仿宋"/>
          <w:b w:val="0"/>
          <w:bCs w:val="0"/>
          <w:color w:val="auto"/>
          <w:sz w:val="24"/>
          <w:szCs w:val="24"/>
          <w:highlight w:val="none"/>
          <w:lang w:val="zh-CN"/>
        </w:rPr>
        <w:t>无任何违约、赔偿等情况的，</w:t>
      </w:r>
      <w:r>
        <w:rPr>
          <w:rFonts w:hint="eastAsia" w:ascii="仿宋" w:hAnsi="仿宋" w:eastAsia="仿宋" w:cs="仿宋"/>
          <w:b w:val="0"/>
          <w:bCs w:val="0"/>
          <w:sz w:val="24"/>
          <w:szCs w:val="24"/>
          <w:highlight w:val="none"/>
          <w:lang w:val="zh-CN"/>
        </w:rPr>
        <w:t>甲方</w:t>
      </w:r>
      <w:r>
        <w:rPr>
          <w:rFonts w:hint="eastAsia" w:ascii="仿宋" w:hAnsi="仿宋" w:eastAsia="仿宋" w:cs="仿宋"/>
          <w:b w:val="0"/>
          <w:bCs w:val="0"/>
          <w:color w:val="auto"/>
          <w:sz w:val="24"/>
          <w:szCs w:val="24"/>
          <w:highlight w:val="none"/>
          <w:lang w:val="zh-CN"/>
        </w:rPr>
        <w:t>在最终验收合格后30日内将履约保证金原额无息退还给</w:t>
      </w:r>
      <w:r>
        <w:rPr>
          <w:rFonts w:hint="eastAsia" w:ascii="仿宋" w:hAnsi="仿宋" w:eastAsia="仿宋" w:cs="仿宋"/>
          <w:b w:val="0"/>
          <w:bCs w:val="0"/>
          <w:sz w:val="24"/>
          <w:szCs w:val="24"/>
          <w:highlight w:val="none"/>
          <w:lang w:val="zh-CN"/>
        </w:rPr>
        <w:t>乙方</w:t>
      </w:r>
      <w:r>
        <w:rPr>
          <w:rFonts w:hint="eastAsia" w:ascii="仿宋" w:hAnsi="仿宋" w:eastAsia="仿宋" w:cs="仿宋"/>
          <w:b w:val="0"/>
          <w:bCs w:val="0"/>
          <w:color w:val="auto"/>
          <w:sz w:val="24"/>
          <w:szCs w:val="24"/>
          <w:highlight w:val="none"/>
          <w:lang w:val="zh-CN"/>
        </w:rPr>
        <w:t>。以保函形式提供的，保函有效期应在合同期限内不少于6个月且保函到期时合同未履行完毕的，</w:t>
      </w:r>
      <w:r>
        <w:rPr>
          <w:rFonts w:hint="eastAsia" w:ascii="仿宋" w:hAnsi="仿宋" w:eastAsia="仿宋" w:cs="仿宋"/>
          <w:b w:val="0"/>
          <w:bCs w:val="0"/>
          <w:sz w:val="24"/>
          <w:szCs w:val="24"/>
          <w:highlight w:val="none"/>
          <w:lang w:val="zh-CN"/>
        </w:rPr>
        <w:t>乙方</w:t>
      </w:r>
      <w:r>
        <w:rPr>
          <w:rFonts w:hint="eastAsia" w:ascii="仿宋" w:hAnsi="仿宋" w:eastAsia="仿宋" w:cs="仿宋"/>
          <w:b w:val="0"/>
          <w:bCs w:val="0"/>
          <w:color w:val="auto"/>
          <w:sz w:val="24"/>
          <w:szCs w:val="24"/>
          <w:highlight w:val="none"/>
          <w:lang w:val="zh-CN"/>
        </w:rPr>
        <w:t>应在保函到期前完成续保，保函到期后双方按相关要求办理相关手续。</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 xml:space="preserve">三、合同金额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zh-CN"/>
        </w:rPr>
        <w:t>本合同含税金额为（大写）人民币：        ，（￥       ），</w:t>
      </w:r>
      <w:r>
        <w:rPr>
          <w:rFonts w:hint="eastAsia" w:ascii="仿宋" w:hAnsi="仿宋" w:eastAsia="仿宋" w:cs="仿宋"/>
          <w:b w:val="0"/>
          <w:bCs w:val="0"/>
          <w:color w:val="auto"/>
          <w:sz w:val="24"/>
          <w:szCs w:val="24"/>
          <w:highlight w:val="none"/>
          <w:lang w:val="en-US" w:eastAsia="zh-CN"/>
        </w:rPr>
        <w:t>其中增值税</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元。</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合同为固定总价合同。合同总价是履行合同的最终价，包括货物价格、标准附件、备品备件、专用工具、人员工资、运输、装卸、招标代理费、安装调试、技术服务及验收合格、售后服务、质保期内的维修更换服务等所需的各种费用及必要的保险费用和</w:t>
      </w:r>
      <w:r>
        <w:rPr>
          <w:rFonts w:hint="eastAsia" w:ascii="仿宋" w:hAnsi="仿宋" w:eastAsia="仿宋" w:cs="仿宋"/>
          <w:b w:val="0"/>
          <w:bCs w:val="0"/>
          <w:color w:val="auto"/>
          <w:sz w:val="24"/>
          <w:szCs w:val="24"/>
          <w:highlight w:val="none"/>
          <w:lang w:val="zh-CN"/>
        </w:rPr>
        <w:t>各项</w:t>
      </w:r>
      <w:r>
        <w:rPr>
          <w:rFonts w:hint="eastAsia" w:ascii="仿宋" w:hAnsi="仿宋" w:eastAsia="仿宋" w:cs="仿宋"/>
          <w:b w:val="0"/>
          <w:bCs w:val="0"/>
          <w:sz w:val="24"/>
          <w:szCs w:val="24"/>
          <w:highlight w:val="none"/>
          <w:lang w:val="zh-CN"/>
        </w:rPr>
        <w:t>税金等一切直接、间接成本和费用以及利润的全部。</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四、技术资料</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㈠未经甲方书面同意，乙方不得将由甲方提供的有关合同或任何样品或资料提供给与履行本合同无关的任何其他人。即使向履行本合同有关的人员提供，也应注意保密并限于履行合同的必需范围。</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㈡乙方应保证所提供的货物或其任何一部分均不会侵犯任何第三方的知识产权。</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五、转包或分包</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㈠本合同范围的货物、系统，应由乙方直接供应，不得转让他人供应；</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㈡未经甲方书面同意，乙方不得将本合同范围的货物、系统全部或部分分包给他人供应；</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㈢如有转让和未经甲方同意的分包行为，甲方有权解除合同并追究乙方的违约责任。</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六、履行地点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履行地点：甲方指定地点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七、款项支付</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⑴项目经甲方最终验收合格，</w:t>
      </w:r>
      <w:r>
        <w:rPr>
          <w:rFonts w:hint="eastAsia" w:ascii="仿宋" w:hAnsi="仿宋" w:eastAsia="仿宋" w:cs="仿宋"/>
          <w:b w:val="0"/>
          <w:bCs w:val="0"/>
          <w:color w:val="auto"/>
          <w:sz w:val="24"/>
          <w:szCs w:val="24"/>
          <w:highlight w:val="none"/>
          <w:lang w:val="en-US" w:eastAsia="zh-CN"/>
        </w:rPr>
        <w:t>乙方按</w:t>
      </w:r>
      <w:r>
        <w:rPr>
          <w:rFonts w:hint="eastAsia" w:ascii="仿宋" w:hAnsi="仿宋" w:eastAsia="仿宋" w:cs="仿宋"/>
          <w:b w:val="0"/>
          <w:bCs w:val="0"/>
          <w:color w:val="auto"/>
          <w:sz w:val="24"/>
          <w:szCs w:val="24"/>
          <w:highlight w:val="none"/>
          <w:lang w:val="zh-CN"/>
        </w:rPr>
        <w:t>甲方</w:t>
      </w:r>
      <w:r>
        <w:rPr>
          <w:rFonts w:hint="eastAsia" w:ascii="仿宋" w:hAnsi="仿宋" w:eastAsia="仿宋" w:cs="仿宋"/>
          <w:b w:val="0"/>
          <w:bCs w:val="0"/>
          <w:color w:val="auto"/>
          <w:sz w:val="24"/>
          <w:szCs w:val="24"/>
          <w:highlight w:val="none"/>
          <w:lang w:val="en-US" w:eastAsia="zh-CN"/>
        </w:rPr>
        <w:t>要求</w:t>
      </w:r>
      <w:r>
        <w:rPr>
          <w:rFonts w:hint="eastAsia" w:ascii="仿宋" w:hAnsi="仿宋" w:eastAsia="仿宋" w:cs="仿宋"/>
          <w:b w:val="0"/>
          <w:bCs w:val="0"/>
          <w:color w:val="auto"/>
          <w:sz w:val="24"/>
          <w:szCs w:val="24"/>
          <w:highlight w:val="none"/>
          <w:lang w:val="zh-CN"/>
        </w:rPr>
        <w:t>开具正规、有效的增值税专用发票，</w:t>
      </w:r>
      <w:r>
        <w:rPr>
          <w:rFonts w:hint="eastAsia" w:ascii="仿宋" w:hAnsi="仿宋" w:eastAsia="仿宋" w:cs="仿宋"/>
          <w:b w:val="0"/>
          <w:bCs w:val="0"/>
          <w:color w:val="auto"/>
          <w:sz w:val="24"/>
          <w:szCs w:val="24"/>
          <w:highlight w:val="none"/>
          <w:lang w:val="en-US" w:eastAsia="zh-CN"/>
        </w:rPr>
        <w:t>甲方资金支付审批流程完成后，</w:t>
      </w:r>
      <w:r>
        <w:rPr>
          <w:rFonts w:hint="eastAsia" w:ascii="仿宋" w:hAnsi="仿宋" w:eastAsia="仿宋" w:cs="仿宋"/>
          <w:b w:val="0"/>
          <w:bCs w:val="0"/>
          <w:color w:val="auto"/>
          <w:sz w:val="24"/>
          <w:szCs w:val="24"/>
          <w:highlight w:val="none"/>
          <w:lang w:val="zh-CN"/>
        </w:rPr>
        <w:t>支付至合同总价款的95%；</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⑵剩余5%作为质保金（无息），质保期自最终验收合格之日起算，质保期（</w:t>
      </w:r>
      <w:r>
        <w:rPr>
          <w:rFonts w:hint="eastAsia" w:ascii="仿宋" w:hAnsi="仿宋" w:eastAsia="仿宋" w:cs="仿宋"/>
          <w:b w:val="0"/>
          <w:bCs w:val="0"/>
          <w:color w:val="auto"/>
          <w:sz w:val="24"/>
          <w:szCs w:val="24"/>
          <w:highlight w:val="none"/>
          <w:lang w:val="en-US" w:eastAsia="zh-CN"/>
        </w:rPr>
        <w:t>按投标承诺的设备质保最长期限计算</w:t>
      </w:r>
      <w:r>
        <w:rPr>
          <w:rFonts w:hint="eastAsia" w:ascii="仿宋" w:hAnsi="仿宋" w:eastAsia="仿宋" w:cs="仿宋"/>
          <w:b w:val="0"/>
          <w:bCs w:val="0"/>
          <w:color w:val="auto"/>
          <w:sz w:val="24"/>
          <w:szCs w:val="24"/>
          <w:highlight w:val="none"/>
          <w:lang w:val="zh-CN"/>
        </w:rPr>
        <w:t>）满后，在乙方无任何质量问题等情况下，甲方应于15个工作日内付清剩余质保金。</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八、税费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本合同执行中相关的一切税费均由乙方负担。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九、违约责任</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㈠乙方所交的货物、系统品种、型号、规格、质量不符合甲方技术参数要求的，甲方有权拒收，乙方向甲方偿付合同价款总值10%的违约金。</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㈡</w:t>
      </w:r>
      <w:r>
        <w:rPr>
          <w:rFonts w:hint="eastAsia" w:ascii="仿宋" w:hAnsi="仿宋" w:eastAsia="仿宋" w:cs="仿宋"/>
          <w:b w:val="0"/>
          <w:bCs w:val="0"/>
          <w:sz w:val="24"/>
          <w:szCs w:val="24"/>
          <w:highlight w:val="none"/>
          <w:lang w:val="en-US" w:eastAsia="zh-CN"/>
        </w:rPr>
        <w:t>乙方不能按约定日期（按投标承诺）完成安装调试的，每延期一天应承担违约金 500元，违约金从未付合同款中扣除；乙方超过约定日期5个工作日仍不能完成安装调试的，甲方有权解除本合同并要求乙方承担合同价款总值10%的违约金，且甲方有权没收履约保证金</w:t>
      </w:r>
      <w:r>
        <w:rPr>
          <w:rFonts w:hint="eastAsia" w:ascii="仿宋" w:hAnsi="仿宋" w:eastAsia="仿宋" w:cs="仿宋"/>
          <w:b w:val="0"/>
          <w:bCs w:val="0"/>
          <w:sz w:val="24"/>
          <w:szCs w:val="24"/>
          <w:highlight w:val="none"/>
          <w:lang w:val="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乙方未能按约定时间（</w:t>
      </w:r>
      <w:r>
        <w:rPr>
          <w:rFonts w:hint="eastAsia" w:ascii="仿宋" w:hAnsi="仿宋" w:eastAsia="仿宋" w:cs="仿宋"/>
          <w:b w:val="0"/>
          <w:bCs w:val="0"/>
          <w:sz w:val="24"/>
          <w:szCs w:val="24"/>
          <w:highlight w:val="none"/>
          <w:lang w:val="en-US" w:eastAsia="zh-CN"/>
        </w:rPr>
        <w:t>按投标承诺</w:t>
      </w:r>
      <w:r>
        <w:rPr>
          <w:rFonts w:hint="eastAsia" w:ascii="仿宋" w:hAnsi="仿宋" w:eastAsia="仿宋" w:cs="仿宋"/>
          <w:b w:val="0"/>
          <w:bCs w:val="0"/>
          <w:sz w:val="24"/>
          <w:szCs w:val="24"/>
          <w:highlight w:val="none"/>
          <w:lang w:val="zh-CN"/>
        </w:rPr>
        <w:t>）提供售后服务的，每发生一次，应当向甲方支付500元违约金。逾期达48个小时的，甲方有权委托第三方处理，发生的费用由乙方承担。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（三）乙方如有本合同第五条约定的违约行为，甲方有权解除合同且乙方应当向甲方支付合同总价款</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val="zh-CN"/>
        </w:rPr>
        <w:t>0%的违约金。</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十、不可抗力事件处理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㈠在合同有效期内，任何一方因不可抗力事件导致不能履行合同，则合同履行期可延长，其延长期与不可抗力影响期相同。</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㈡不可抗力事件发生后，应立即通知对方，并寄送有关权威机构出具的证明。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㈢不可抗力事件延续120天以上，双方应通过友好协商，确定是否继续履行合同。</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十一、争议解决</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双方在执行合同中所发生的一切争议，应通过友好协商，妥善解决，如通过协商仍不能解决时，任何一方有权向甲方所在地人民法院提起诉讼。</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十二、合同生效及其它</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1.合同经双方法定代表人或授权代表签字并加盖单位公章或合同专用章后生效，合同执行期内，如有未尽事宜，经双方共同协商，并书面做出补充协议，补充协议具有同等法律效力。</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2.合同执行中涉及采购资金和采购内容修改或补充的，须经甲方审批，并签书面补充协议报甲方备案，方可作为主合同不可分割的一部分。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3.询价文件、响应文件及评标过程中形成的文字资料、询标纪要均作为本合同的组成部分，具有同等效力。本合同未尽事宜，遵照《中华人民共和国民法典》有关条文执行。</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4.本合同正本一式肆份，具有同等法律效力，甲乙双方各执贰份。</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p>
    <w:p>
      <w:pPr>
        <w:pStyle w:val="2"/>
        <w:rPr>
          <w:rFonts w:hint="eastAsia"/>
          <w:highlight w:val="none"/>
          <w:lang w:val="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甲方：（盖章）                          乙方：（盖章）</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法定（授权）代表人：                   法定（授权）代表人：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签字日期：   年  月   日</w:t>
      </w:r>
      <w:r>
        <w:rPr>
          <w:rFonts w:hint="eastAsia" w:ascii="仿宋" w:hAnsi="仿宋" w:eastAsia="仿宋" w:cs="仿宋"/>
          <w:b w:val="0"/>
          <w:bCs w:val="0"/>
          <w:sz w:val="24"/>
          <w:szCs w:val="24"/>
          <w:highlight w:val="none"/>
          <w:lang w:val="zh-CN"/>
        </w:rPr>
        <w:tab/>
      </w:r>
      <w:r>
        <w:rPr>
          <w:rFonts w:hint="eastAsia" w:ascii="仿宋" w:hAnsi="仿宋" w:eastAsia="仿宋" w:cs="仿宋"/>
          <w:b w:val="0"/>
          <w:bCs w:val="0"/>
          <w:sz w:val="24"/>
          <w:szCs w:val="24"/>
          <w:highlight w:val="none"/>
          <w:lang w:val="zh-CN"/>
        </w:rPr>
        <w:t xml:space="preserve">              签字日期：   年  月   日</w:t>
      </w:r>
      <w:r>
        <w:rPr>
          <w:rFonts w:hint="eastAsia" w:ascii="仿宋" w:hAnsi="仿宋" w:eastAsia="仿宋" w:cs="仿宋"/>
          <w:b w:val="0"/>
          <w:bCs w:val="0"/>
          <w:sz w:val="24"/>
          <w:szCs w:val="24"/>
          <w:highlight w:val="none"/>
          <w:lang w:val="zh-CN"/>
        </w:rPr>
        <w:tab/>
      </w:r>
      <w:r>
        <w:rPr>
          <w:rFonts w:hint="eastAsia" w:ascii="仿宋" w:hAnsi="仿宋" w:eastAsia="仿宋" w:cs="仿宋"/>
          <w:b w:val="0"/>
          <w:bCs w:val="0"/>
          <w:sz w:val="24"/>
          <w:szCs w:val="24"/>
          <w:highlight w:val="none"/>
          <w:lang w:val="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签订地点：浙江省衢州市衢江区浮石北路79号</w:t>
      </w: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lang w:val="zh-CN"/>
        </w:rPr>
      </w:pP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lang w:val="zh-CN"/>
        </w:rPr>
      </w:pP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lang w:val="zh-CN"/>
        </w:rPr>
      </w:pP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lang w:val="zh-CN"/>
        </w:rPr>
      </w:pP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lang w:val="zh-CN"/>
        </w:rPr>
      </w:pP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lang w:val="zh-CN"/>
        </w:rPr>
      </w:pP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lang w:val="zh-CN"/>
        </w:rPr>
      </w:pP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lang w:val="zh-CN"/>
        </w:rPr>
      </w:pP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lang w:val="zh-CN"/>
        </w:rPr>
      </w:pP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lang w:val="zh-CN"/>
        </w:rPr>
      </w:pP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lang w:val="zh-CN"/>
        </w:rPr>
      </w:pP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lang w:val="zh-CN"/>
        </w:rPr>
      </w:pP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lang w:val="zh-CN"/>
        </w:rPr>
      </w:pP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lang w:val="zh-CN"/>
        </w:rPr>
      </w:pP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lang w:val="zh-CN"/>
        </w:rPr>
      </w:pP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lang w:val="zh-CN"/>
        </w:rPr>
      </w:pP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lang w:val="zh-CN"/>
        </w:rPr>
      </w:pP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lang w:val="zh-CN"/>
        </w:rPr>
      </w:pP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lang w:val="zh-CN"/>
        </w:rPr>
      </w:pP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lang w:val="zh-CN"/>
        </w:rPr>
      </w:pP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lang w:val="zh-CN"/>
        </w:rPr>
      </w:pPr>
    </w:p>
    <w:p>
      <w:pPr>
        <w:keepNext w:val="0"/>
        <w:keepLines w:val="0"/>
        <w:pageBreakBefore w:val="0"/>
        <w:widowControl/>
        <w:kinsoku/>
        <w:wordWrap/>
        <w:overflowPunct/>
        <w:topLinePunct w:val="0"/>
        <w:autoSpaceDE/>
        <w:autoSpaceDN/>
        <w:bidi w:val="0"/>
        <w:spacing w:line="360" w:lineRule="auto"/>
        <w:jc w:val="center"/>
        <w:textAlignment w:val="auto"/>
        <w:outlineLvl w:val="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zh-CN"/>
        </w:rPr>
        <w:t>第</w:t>
      </w:r>
      <w:r>
        <w:rPr>
          <w:rFonts w:hint="eastAsia" w:ascii="仿宋" w:hAnsi="仿宋" w:eastAsia="仿宋" w:cs="仿宋"/>
          <w:b/>
          <w:bCs/>
          <w:sz w:val="28"/>
          <w:szCs w:val="28"/>
          <w:highlight w:val="none"/>
        </w:rPr>
        <w:t>五</w:t>
      </w:r>
      <w:r>
        <w:rPr>
          <w:rFonts w:hint="eastAsia" w:ascii="仿宋" w:hAnsi="仿宋" w:eastAsia="仿宋" w:cs="仿宋"/>
          <w:b/>
          <w:bCs/>
          <w:sz w:val="28"/>
          <w:szCs w:val="28"/>
          <w:highlight w:val="none"/>
          <w:lang w:val="zh-CN"/>
        </w:rPr>
        <w:t>章</w:t>
      </w:r>
      <w:r>
        <w:rPr>
          <w:rFonts w:hint="eastAsia" w:ascii="仿宋" w:hAnsi="仿宋" w:eastAsia="仿宋" w:cs="仿宋"/>
          <w:b/>
          <w:bCs/>
          <w:sz w:val="28"/>
          <w:szCs w:val="28"/>
          <w:highlight w:val="none"/>
        </w:rPr>
        <w:t xml:space="preserve">  </w:t>
      </w:r>
      <w:bookmarkStart w:id="138" w:name="评标办法及开标程序"/>
      <w:r>
        <w:rPr>
          <w:rFonts w:hint="eastAsia" w:ascii="仿宋" w:hAnsi="仿宋" w:eastAsia="仿宋" w:cs="仿宋"/>
          <w:b/>
          <w:bCs/>
          <w:sz w:val="28"/>
          <w:szCs w:val="28"/>
          <w:highlight w:val="none"/>
          <w:lang w:val="zh-CN"/>
        </w:rPr>
        <w:t>评标办法</w:t>
      </w:r>
      <w:bookmarkEnd w:id="121"/>
      <w:bookmarkEnd w:id="122"/>
      <w:bookmarkEnd w:id="123"/>
      <w:bookmarkEnd w:id="124"/>
      <w:bookmarkEnd w:id="125"/>
      <w:bookmarkEnd w:id="126"/>
      <w:bookmarkEnd w:id="127"/>
      <w:bookmarkEnd w:id="128"/>
      <w:bookmarkEnd w:id="129"/>
      <w:bookmarkEnd w:id="138"/>
    </w:p>
    <w:p>
      <w:pPr>
        <w:keepNext w:val="0"/>
        <w:keepLines w:val="0"/>
        <w:pageBreakBefore w:val="0"/>
        <w:kinsoku/>
        <w:wordWrap/>
        <w:overflowPunct/>
        <w:topLinePunct w:val="0"/>
        <w:autoSpaceDE/>
        <w:autoSpaceDN/>
        <w:bidi w:val="0"/>
        <w:adjustRightInd w:val="0"/>
        <w:snapToGrid w:val="0"/>
        <w:spacing w:line="360" w:lineRule="auto"/>
        <w:ind w:left="425"/>
        <w:textAlignment w:val="auto"/>
        <w:outlineLvl w:val="1"/>
        <w:rPr>
          <w:rFonts w:hint="eastAsia" w:ascii="仿宋" w:hAnsi="仿宋" w:eastAsia="仿宋" w:cs="仿宋"/>
          <w:b/>
          <w:bCs/>
          <w:color w:val="auto"/>
          <w:sz w:val="24"/>
          <w:szCs w:val="24"/>
          <w:highlight w:val="none"/>
          <w:lang w:val="zh-CN"/>
        </w:rPr>
      </w:pPr>
      <w:bookmarkStart w:id="139" w:name="_Toc3944"/>
      <w:bookmarkStart w:id="140" w:name="_Toc13283"/>
      <w:bookmarkStart w:id="141" w:name="_Toc4144"/>
      <w:bookmarkStart w:id="142" w:name="_Toc31907"/>
      <w:bookmarkStart w:id="143" w:name="_Toc359856825"/>
      <w:r>
        <w:rPr>
          <w:rFonts w:hint="eastAsia" w:ascii="仿宋" w:hAnsi="仿宋" w:eastAsia="仿宋" w:cs="仿宋"/>
          <w:b/>
          <w:bCs/>
          <w:sz w:val="24"/>
          <w:szCs w:val="24"/>
          <w:highlight w:val="none"/>
          <w:lang w:val="zh-CN"/>
        </w:rPr>
        <w:t>一、评审</w:t>
      </w:r>
      <w:r>
        <w:rPr>
          <w:rFonts w:hint="eastAsia" w:ascii="仿宋" w:hAnsi="仿宋" w:eastAsia="仿宋" w:cs="仿宋"/>
          <w:b/>
          <w:bCs/>
          <w:color w:val="auto"/>
          <w:sz w:val="24"/>
          <w:szCs w:val="24"/>
          <w:highlight w:val="none"/>
          <w:lang w:val="zh-CN"/>
        </w:rPr>
        <w:t>小组的组成</w:t>
      </w:r>
      <w:bookmarkEnd w:id="139"/>
      <w:bookmarkEnd w:id="140"/>
      <w:bookmarkEnd w:id="141"/>
      <w:bookmarkEnd w:id="142"/>
      <w:bookmarkEnd w:id="143"/>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由5人</w:t>
      </w:r>
      <w:r>
        <w:rPr>
          <w:rFonts w:hint="eastAsia" w:ascii="仿宋" w:hAnsi="仿宋" w:eastAsia="仿宋" w:cs="仿宋"/>
          <w:color w:val="auto"/>
          <w:sz w:val="24"/>
          <w:szCs w:val="24"/>
          <w:highlight w:val="none"/>
          <w:lang w:val="en-US" w:eastAsia="zh-CN"/>
        </w:rPr>
        <w:t>及以上单数</w:t>
      </w:r>
      <w:r>
        <w:rPr>
          <w:rFonts w:hint="eastAsia" w:ascii="仿宋" w:hAnsi="仿宋" w:eastAsia="仿宋" w:cs="仿宋"/>
          <w:color w:val="auto"/>
          <w:sz w:val="24"/>
          <w:szCs w:val="24"/>
          <w:highlight w:val="none"/>
        </w:rPr>
        <w:t>组成，由采购人代表（1人）和评审专家（4人）组成，评审专家从专家库里随机抽取，</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对投标文件进行评审。采购人代表负责对</w:t>
      </w:r>
      <w:r>
        <w:rPr>
          <w:rFonts w:hint="eastAsia" w:ascii="仿宋" w:hAnsi="仿宋" w:eastAsia="仿宋" w:cs="仿宋"/>
          <w:color w:val="auto"/>
          <w:sz w:val="24"/>
          <w:szCs w:val="24"/>
          <w:highlight w:val="none"/>
          <w:lang w:val="en-US" w:eastAsia="zh-CN"/>
        </w:rPr>
        <w:t>本</w:t>
      </w:r>
      <w:r>
        <w:rPr>
          <w:rFonts w:hint="eastAsia" w:ascii="仿宋" w:hAnsi="仿宋" w:eastAsia="仿宋" w:cs="仿宋"/>
          <w:color w:val="auto"/>
          <w:sz w:val="24"/>
          <w:szCs w:val="24"/>
          <w:highlight w:val="none"/>
        </w:rPr>
        <w:t>项目评审质量和结果的审查，但不得担任</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负责人。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2.询标期间，投标人法定代表人</w:t>
      </w:r>
      <w:r>
        <w:rPr>
          <w:rFonts w:hint="eastAsia" w:ascii="仿宋" w:hAnsi="仿宋" w:eastAsia="仿宋" w:cs="仿宋"/>
          <w:bCs/>
          <w:sz w:val="24"/>
          <w:szCs w:val="24"/>
          <w:highlight w:val="none"/>
        </w:rPr>
        <w:t>（负责人）</w:t>
      </w:r>
      <w:r>
        <w:rPr>
          <w:rFonts w:hint="eastAsia" w:ascii="仿宋" w:hAnsi="仿宋" w:eastAsia="仿宋" w:cs="仿宋"/>
          <w:sz w:val="24"/>
          <w:szCs w:val="24"/>
          <w:highlight w:val="none"/>
        </w:rPr>
        <w:t>或法定代表人</w:t>
      </w:r>
      <w:r>
        <w:rPr>
          <w:rFonts w:hint="eastAsia" w:ascii="仿宋" w:hAnsi="仿宋" w:eastAsia="仿宋" w:cs="仿宋"/>
          <w:bCs/>
          <w:sz w:val="24"/>
          <w:szCs w:val="24"/>
          <w:highlight w:val="none"/>
        </w:rPr>
        <w:t>（负责人）</w:t>
      </w:r>
      <w:r>
        <w:rPr>
          <w:rFonts w:hint="eastAsia" w:ascii="仿宋" w:hAnsi="仿宋" w:eastAsia="仿宋" w:cs="仿宋"/>
          <w:sz w:val="24"/>
          <w:szCs w:val="24"/>
          <w:highlight w:val="none"/>
        </w:rPr>
        <w:t>委托人</w:t>
      </w:r>
      <w:r>
        <w:rPr>
          <w:rFonts w:hint="eastAsia" w:ascii="仿宋" w:hAnsi="仿宋" w:eastAsia="仿宋" w:cs="仿宋"/>
          <w:sz w:val="24"/>
          <w:szCs w:val="24"/>
          <w:highlight w:val="none"/>
          <w:lang w:val="en-US" w:eastAsia="zh-CN"/>
        </w:rPr>
        <w:t>必须全程</w:t>
      </w:r>
      <w:r>
        <w:rPr>
          <w:rFonts w:hint="eastAsia" w:ascii="仿宋" w:hAnsi="仿宋" w:eastAsia="仿宋" w:cs="仿宋"/>
          <w:sz w:val="24"/>
          <w:szCs w:val="24"/>
          <w:highlight w:val="none"/>
        </w:rPr>
        <w:t>在</w:t>
      </w:r>
      <w:r>
        <w:rPr>
          <w:rFonts w:hint="eastAsia" w:ascii="仿宋" w:hAnsi="仿宋" w:eastAsia="仿宋" w:cs="仿宋"/>
          <w:sz w:val="24"/>
          <w:szCs w:val="24"/>
          <w:highlight w:val="none"/>
          <w:lang w:val="en-US" w:eastAsia="zh-CN"/>
        </w:rPr>
        <w:t>线</w:t>
      </w:r>
      <w:r>
        <w:rPr>
          <w:rFonts w:ascii="仿宋" w:hAnsi="仿宋" w:eastAsia="仿宋" w:cs="仿宋"/>
          <w:sz w:val="24"/>
          <w:szCs w:val="24"/>
          <w:highlight w:val="none"/>
        </w:rPr>
        <w:t>，</w:t>
      </w:r>
      <w:r>
        <w:rPr>
          <w:rFonts w:hint="eastAsia" w:ascii="仿宋" w:hAnsi="仿宋" w:eastAsia="仿宋" w:cs="仿宋"/>
          <w:sz w:val="24"/>
          <w:szCs w:val="24"/>
          <w:highlight w:val="none"/>
        </w:rPr>
        <w:t>负责解答有关事宜</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确保评标顺利进行。</w:t>
      </w:r>
    </w:p>
    <w:p>
      <w:pPr>
        <w:keepNext w:val="0"/>
        <w:keepLines w:val="0"/>
        <w:pageBreakBefore w:val="0"/>
        <w:kinsoku/>
        <w:wordWrap/>
        <w:overflowPunct/>
        <w:topLinePunct w:val="0"/>
        <w:autoSpaceDE/>
        <w:autoSpaceDN/>
        <w:bidi w:val="0"/>
        <w:adjustRightInd w:val="0"/>
        <w:snapToGrid w:val="0"/>
        <w:spacing w:line="360" w:lineRule="auto"/>
        <w:ind w:left="425"/>
        <w:textAlignment w:val="auto"/>
        <w:outlineLvl w:val="1"/>
        <w:rPr>
          <w:rFonts w:hint="eastAsia" w:ascii="仿宋" w:hAnsi="仿宋" w:eastAsia="仿宋" w:cs="仿宋"/>
          <w:b/>
          <w:bCs/>
          <w:sz w:val="24"/>
          <w:szCs w:val="24"/>
          <w:highlight w:val="none"/>
          <w:lang w:val="zh-CN"/>
        </w:rPr>
      </w:pPr>
      <w:bookmarkStart w:id="144" w:name="_Toc8502"/>
      <w:bookmarkStart w:id="145" w:name="_Toc19711"/>
      <w:bookmarkStart w:id="146" w:name="_Toc359856826"/>
      <w:bookmarkStart w:id="147" w:name="_Toc10805"/>
      <w:bookmarkStart w:id="148" w:name="_Toc3442"/>
      <w:r>
        <w:rPr>
          <w:rFonts w:hint="eastAsia" w:ascii="仿宋" w:hAnsi="仿宋" w:eastAsia="仿宋" w:cs="仿宋"/>
          <w:b/>
          <w:bCs/>
          <w:sz w:val="24"/>
          <w:szCs w:val="24"/>
          <w:highlight w:val="none"/>
          <w:lang w:val="zh-CN"/>
        </w:rPr>
        <w:t>二、评标原则</w:t>
      </w:r>
      <w:bookmarkEnd w:id="144"/>
      <w:bookmarkEnd w:id="145"/>
      <w:bookmarkEnd w:id="146"/>
      <w:bookmarkEnd w:id="147"/>
      <w:bookmarkEnd w:id="148"/>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1.投标人得分由</w:t>
      </w:r>
      <w:r>
        <w:rPr>
          <w:rFonts w:hint="eastAsia" w:ascii="仿宋" w:hAnsi="仿宋" w:eastAsia="仿宋" w:cs="仿宋"/>
          <w:sz w:val="24"/>
          <w:szCs w:val="24"/>
          <w:highlight w:val="none"/>
          <w:lang w:eastAsia="zh-CN"/>
        </w:rPr>
        <w:t>技术商务</w:t>
      </w:r>
      <w:r>
        <w:rPr>
          <w:rFonts w:hint="eastAsia" w:ascii="仿宋" w:hAnsi="仿宋" w:eastAsia="仿宋" w:cs="仿宋"/>
          <w:sz w:val="24"/>
          <w:szCs w:val="24"/>
          <w:highlight w:val="none"/>
        </w:rPr>
        <w:t>分和报价分合计组成，满分为100分。</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技术商务</w:t>
      </w:r>
      <w:r>
        <w:rPr>
          <w:rFonts w:hint="eastAsia" w:ascii="仿宋" w:hAnsi="仿宋" w:eastAsia="仿宋" w:cs="仿宋"/>
          <w:sz w:val="24"/>
          <w:szCs w:val="24"/>
          <w:highlight w:val="none"/>
        </w:rPr>
        <w:t>分与报价分合计得分最高者为第一中标候选人，得分第二高者为第二中标候选人，得分第三高者为第三中标候选人，总分相同时，价格低者优先。报价得分、</w:t>
      </w:r>
      <w:r>
        <w:rPr>
          <w:rFonts w:hint="eastAsia" w:ascii="仿宋" w:hAnsi="仿宋" w:eastAsia="仿宋" w:cs="仿宋"/>
          <w:sz w:val="24"/>
          <w:szCs w:val="24"/>
          <w:highlight w:val="none"/>
          <w:lang w:eastAsia="zh-CN"/>
        </w:rPr>
        <w:t>技术商务</w:t>
      </w:r>
      <w:r>
        <w:rPr>
          <w:rFonts w:hint="eastAsia" w:ascii="仿宋" w:hAnsi="仿宋" w:eastAsia="仿宋" w:cs="仿宋"/>
          <w:sz w:val="24"/>
          <w:szCs w:val="24"/>
          <w:highlight w:val="none"/>
        </w:rPr>
        <w:t>得分均相同的，则现场抽签确定。</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和投标文件，结合</w:t>
      </w:r>
      <w:r>
        <w:rPr>
          <w:rFonts w:hint="eastAsia" w:ascii="仿宋" w:hAnsi="仿宋" w:eastAsia="仿宋" w:cs="仿宋"/>
          <w:sz w:val="24"/>
          <w:szCs w:val="24"/>
          <w:highlight w:val="none"/>
          <w:lang w:eastAsia="zh-CN"/>
        </w:rPr>
        <w:t>技术商务</w:t>
      </w:r>
      <w:r>
        <w:rPr>
          <w:rFonts w:hint="eastAsia" w:ascii="仿宋" w:hAnsi="仿宋" w:eastAsia="仿宋" w:cs="仿宋"/>
          <w:sz w:val="24"/>
          <w:szCs w:val="24"/>
          <w:highlight w:val="none"/>
        </w:rPr>
        <w:t>评分细则对各投标人的</w:t>
      </w:r>
      <w:r>
        <w:rPr>
          <w:rFonts w:hint="eastAsia" w:ascii="仿宋" w:hAnsi="仿宋" w:eastAsia="仿宋" w:cs="仿宋"/>
          <w:sz w:val="24"/>
          <w:szCs w:val="24"/>
          <w:highlight w:val="none"/>
          <w:lang w:eastAsia="zh-CN"/>
        </w:rPr>
        <w:t>技术商务</w:t>
      </w:r>
      <w:r>
        <w:rPr>
          <w:rFonts w:hint="eastAsia" w:ascii="仿宋" w:hAnsi="仿宋" w:eastAsia="仿宋" w:cs="仿宋"/>
          <w:sz w:val="24"/>
          <w:szCs w:val="24"/>
          <w:highlight w:val="none"/>
        </w:rPr>
        <w:t>部分进行评审。</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各成员所评分值的算术平均值即为各投标人的</w:t>
      </w:r>
      <w:r>
        <w:rPr>
          <w:rFonts w:hint="eastAsia" w:ascii="仿宋" w:hAnsi="仿宋" w:eastAsia="仿宋" w:cs="仿宋"/>
          <w:sz w:val="24"/>
          <w:szCs w:val="24"/>
          <w:highlight w:val="none"/>
          <w:lang w:eastAsia="zh-CN"/>
        </w:rPr>
        <w:t>技术商务</w:t>
      </w:r>
      <w:r>
        <w:rPr>
          <w:rFonts w:hint="eastAsia" w:ascii="仿宋" w:hAnsi="仿宋" w:eastAsia="仿宋" w:cs="仿宋"/>
          <w:sz w:val="24"/>
          <w:szCs w:val="24"/>
          <w:highlight w:val="none"/>
        </w:rPr>
        <w:t>分值（计算时四舍五入保留二位小数）。</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4.评定结果经采购人确定后，采购代理机构在中标人确定之日起2个工作日内在指定的媒体上公告中标结果同时将以书面形式发出中标通知书。</w:t>
      </w:r>
    </w:p>
    <w:p>
      <w:pPr>
        <w:keepNext w:val="0"/>
        <w:keepLines w:val="0"/>
        <w:pageBreakBefore w:val="0"/>
        <w:kinsoku/>
        <w:wordWrap/>
        <w:overflowPunct/>
        <w:topLinePunct w:val="0"/>
        <w:autoSpaceDE/>
        <w:autoSpaceDN/>
        <w:bidi w:val="0"/>
        <w:adjustRightInd w:val="0"/>
        <w:snapToGrid w:val="0"/>
        <w:spacing w:line="360" w:lineRule="auto"/>
        <w:ind w:left="425"/>
        <w:textAlignment w:val="auto"/>
        <w:outlineLvl w:val="1"/>
        <w:rPr>
          <w:rFonts w:hint="eastAsia" w:ascii="仿宋" w:hAnsi="仿宋" w:eastAsia="仿宋" w:cs="仿宋"/>
          <w:b/>
          <w:bCs/>
          <w:sz w:val="24"/>
          <w:szCs w:val="24"/>
          <w:highlight w:val="none"/>
          <w:lang w:val="zh-CN"/>
        </w:rPr>
      </w:pPr>
      <w:bookmarkStart w:id="149" w:name="_Toc359856827"/>
      <w:bookmarkStart w:id="150" w:name="_Toc7940"/>
      <w:bookmarkStart w:id="151" w:name="_Toc11400"/>
      <w:bookmarkStart w:id="152" w:name="_Toc16543"/>
      <w:bookmarkStart w:id="153" w:name="_Toc7984"/>
      <w:r>
        <w:rPr>
          <w:rFonts w:hint="eastAsia" w:ascii="仿宋" w:hAnsi="仿宋" w:eastAsia="仿宋" w:cs="仿宋"/>
          <w:b/>
          <w:bCs/>
          <w:sz w:val="24"/>
          <w:szCs w:val="24"/>
          <w:highlight w:val="none"/>
          <w:lang w:val="zh-CN"/>
        </w:rPr>
        <w:t>三、注意事项</w:t>
      </w:r>
      <w:bookmarkEnd w:id="149"/>
      <w:bookmarkEnd w:id="150"/>
      <w:bookmarkEnd w:id="151"/>
      <w:bookmarkEnd w:id="152"/>
      <w:bookmarkEnd w:id="153"/>
    </w:p>
    <w:p>
      <w:pPr>
        <w:keepNext w:val="0"/>
        <w:keepLines w:val="0"/>
        <w:pageBreakBefore w:val="0"/>
        <w:kinsoku/>
        <w:wordWrap/>
        <w:overflowPunct/>
        <w:topLinePunct w:val="0"/>
        <w:autoSpaceDE/>
        <w:autoSpaceDN/>
        <w:bidi w:val="0"/>
        <w:snapToGrid w:val="0"/>
        <w:spacing w:line="360" w:lineRule="auto"/>
        <w:ind w:firstLine="56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评审时</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应当将其作为无效投标处理。</w:t>
      </w:r>
    </w:p>
    <w:p>
      <w:pPr>
        <w:keepNext w:val="0"/>
        <w:keepLines w:val="0"/>
        <w:pageBreakBefore w:val="0"/>
        <w:kinsoku/>
        <w:wordWrap/>
        <w:overflowPunct/>
        <w:topLinePunct w:val="0"/>
        <w:autoSpaceDE/>
        <w:autoSpaceDN/>
        <w:bidi w:val="0"/>
        <w:adjustRightInd w:val="0"/>
        <w:snapToGrid w:val="0"/>
        <w:spacing w:line="360" w:lineRule="auto"/>
        <w:ind w:left="425"/>
        <w:textAlignment w:val="auto"/>
        <w:outlineLvl w:val="1"/>
        <w:rPr>
          <w:rFonts w:hint="eastAsia" w:ascii="仿宋" w:hAnsi="仿宋" w:eastAsia="仿宋" w:cs="仿宋"/>
          <w:sz w:val="24"/>
          <w:szCs w:val="24"/>
          <w:highlight w:val="none"/>
          <w:lang w:val="zh-CN"/>
        </w:rPr>
      </w:pPr>
      <w:bookmarkStart w:id="154" w:name="_Toc2712"/>
      <w:bookmarkStart w:id="155" w:name="_Toc22893"/>
      <w:bookmarkStart w:id="156" w:name="_Toc359856828"/>
      <w:bookmarkStart w:id="157" w:name="_Toc24857"/>
      <w:bookmarkStart w:id="158" w:name="_Toc7315"/>
      <w:r>
        <w:rPr>
          <w:rFonts w:hint="eastAsia" w:ascii="仿宋" w:hAnsi="仿宋" w:eastAsia="仿宋" w:cs="仿宋"/>
          <w:b/>
          <w:bCs/>
          <w:sz w:val="24"/>
          <w:szCs w:val="24"/>
          <w:highlight w:val="none"/>
        </w:rPr>
        <w:t>四、</w:t>
      </w:r>
      <w:r>
        <w:rPr>
          <w:rFonts w:hint="eastAsia" w:ascii="仿宋" w:hAnsi="仿宋" w:eastAsia="仿宋" w:cs="仿宋"/>
          <w:b/>
          <w:bCs/>
          <w:sz w:val="24"/>
          <w:szCs w:val="24"/>
          <w:highlight w:val="none"/>
          <w:lang w:val="zh-CN"/>
        </w:rPr>
        <w:t>评分标准</w:t>
      </w:r>
      <w:bookmarkEnd w:id="154"/>
      <w:bookmarkEnd w:id="155"/>
      <w:bookmarkEnd w:id="156"/>
      <w:bookmarkEnd w:id="157"/>
      <w:bookmarkEnd w:id="158"/>
    </w:p>
    <w:p>
      <w:pPr>
        <w:pStyle w:val="2"/>
        <w:rPr>
          <w:rFonts w:hint="eastAsia" w:ascii="仿宋" w:hAnsi="仿宋" w:eastAsia="仿宋" w:cs="仿宋"/>
          <w:b w:val="0"/>
          <w:bCs w:val="0"/>
          <w:sz w:val="24"/>
          <w:highlight w:val="none"/>
          <w:lang w:val="zh-CN"/>
        </w:rPr>
      </w:pPr>
    </w:p>
    <w:tbl>
      <w:tblPr>
        <w:tblStyle w:val="16"/>
        <w:tblW w:w="10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7875"/>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500" w:type="dxa"/>
            <w:noWrap w:val="0"/>
            <w:vAlign w:val="center"/>
          </w:tcPr>
          <w:p>
            <w:pPr>
              <w:keepNext w:val="0"/>
              <w:keepLines w:val="0"/>
              <w:pageBreakBefore w:val="0"/>
              <w:kinsoku/>
              <w:wordWrap/>
              <w:overflowPunct/>
              <w:topLinePunct w:val="0"/>
              <w:bidi w:val="0"/>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评分项目</w:t>
            </w:r>
          </w:p>
        </w:tc>
        <w:tc>
          <w:tcPr>
            <w:tcW w:w="7875" w:type="dxa"/>
            <w:noWrap w:val="0"/>
            <w:vAlign w:val="center"/>
          </w:tcPr>
          <w:p>
            <w:pPr>
              <w:keepNext w:val="0"/>
              <w:keepLines w:val="0"/>
              <w:pageBreakBefore w:val="0"/>
              <w:kinsoku/>
              <w:wordWrap/>
              <w:overflowPunct/>
              <w:topLinePunct w:val="0"/>
              <w:bidi w:val="0"/>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评分内容</w:t>
            </w:r>
          </w:p>
        </w:tc>
        <w:tc>
          <w:tcPr>
            <w:tcW w:w="1038" w:type="dxa"/>
            <w:noWrap w:val="0"/>
            <w:vAlign w:val="center"/>
          </w:tcPr>
          <w:p>
            <w:pPr>
              <w:keepNext w:val="0"/>
              <w:keepLines w:val="0"/>
              <w:pageBreakBefore w:val="0"/>
              <w:kinsoku/>
              <w:wordWrap/>
              <w:overflowPunct/>
              <w:topLinePunct w:val="0"/>
              <w:bidi w:val="0"/>
              <w:snapToGrid w:val="0"/>
              <w:spacing w:line="360" w:lineRule="auto"/>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分值</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分</w:t>
            </w:r>
            <w:r>
              <w:rPr>
                <w:rFonts w:hint="eastAsia" w:ascii="仿宋" w:hAnsi="仿宋" w:eastAsia="仿宋" w:cs="仿宋"/>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500" w:type="dxa"/>
            <w:noWrap w:val="0"/>
            <w:vAlign w:val="center"/>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投标报价</w:t>
            </w:r>
          </w:p>
        </w:tc>
        <w:tc>
          <w:tcPr>
            <w:tcW w:w="7875" w:type="dxa"/>
            <w:noWrap w:val="0"/>
            <w:vAlign w:val="center"/>
          </w:tcPr>
          <w:p>
            <w:pPr>
              <w:keepNext w:val="0"/>
              <w:keepLines w:val="0"/>
              <w:pageBreakBefore w:val="0"/>
              <w:kinsoku/>
              <w:wordWrap/>
              <w:overflowPunct/>
              <w:topLinePunct w:val="0"/>
              <w:bidi w:val="0"/>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本项目最高限价：人民币</w:t>
            </w:r>
            <w:r>
              <w:rPr>
                <w:rFonts w:hint="eastAsia" w:ascii="仿宋" w:hAnsi="仿宋" w:eastAsia="仿宋" w:cs="仿宋"/>
                <w:color w:val="auto"/>
                <w:sz w:val="21"/>
                <w:szCs w:val="21"/>
                <w:highlight w:val="none"/>
                <w:lang w:val="en-US" w:eastAsia="zh-CN"/>
              </w:rPr>
              <w:t>97992.67</w:t>
            </w:r>
            <w:r>
              <w:rPr>
                <w:rFonts w:hint="eastAsia" w:ascii="仿宋" w:hAnsi="仿宋" w:eastAsia="仿宋" w:cs="仿宋"/>
                <w:color w:val="auto"/>
                <w:sz w:val="21"/>
                <w:szCs w:val="21"/>
                <w:highlight w:val="none"/>
              </w:rPr>
              <w:t>元，基准价为满足评标要求且投标价格最低的投标报价，投标报价得分=(基准价／投标报价)×</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0，四舍五入，保留两位小数。报价高于预算价（最高限价）的，其投标文件作无效处理。</w:t>
            </w:r>
          </w:p>
        </w:tc>
        <w:tc>
          <w:tcPr>
            <w:tcW w:w="1038" w:type="dxa"/>
            <w:noWrap w:val="0"/>
            <w:vAlign w:val="center"/>
          </w:tcPr>
          <w:p>
            <w:pPr>
              <w:keepNext w:val="0"/>
              <w:keepLines w:val="0"/>
              <w:pageBreakBefore w:val="0"/>
              <w:kinsoku/>
              <w:wordWrap/>
              <w:overflowPunct/>
              <w:topLinePunct w:val="0"/>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noWrap w:val="0"/>
            <w:vAlign w:val="center"/>
          </w:tcPr>
          <w:p>
            <w:pPr>
              <w:keepNext w:val="0"/>
              <w:keepLines w:val="0"/>
              <w:pageBreakBefore w:val="0"/>
              <w:kinsoku/>
              <w:wordWrap/>
              <w:overflowPunct/>
              <w:topLinePunct w:val="0"/>
              <w:bidi w:val="0"/>
              <w:adjustRightInd w:val="0"/>
              <w:snapToGrid w:val="0"/>
              <w:spacing w:line="360" w:lineRule="auto"/>
              <w:jc w:val="center"/>
              <w:textAlignment w:val="baseline"/>
              <w:rPr>
                <w:rFonts w:hint="eastAsia" w:ascii="仿宋" w:hAnsi="仿宋" w:eastAsia="仿宋" w:cs="仿宋"/>
                <w:color w:val="auto"/>
                <w:sz w:val="21"/>
                <w:szCs w:val="21"/>
                <w:highlight w:val="none"/>
              </w:rPr>
            </w:pPr>
            <w:r>
              <w:rPr>
                <w:rFonts w:hint="eastAsia" w:ascii="仿宋" w:hAnsi="仿宋" w:eastAsia="仿宋" w:cs="仿宋"/>
                <w:b w:val="0"/>
                <w:bCs w:val="0"/>
                <w:color w:val="auto"/>
                <w:kern w:val="2"/>
                <w:sz w:val="21"/>
                <w:szCs w:val="21"/>
                <w:highlight w:val="none"/>
                <w:lang w:val="en-US" w:eastAsia="zh-CN" w:bidi="zh-CN"/>
              </w:rPr>
              <w:t>业绩</w:t>
            </w:r>
          </w:p>
        </w:tc>
        <w:tc>
          <w:tcPr>
            <w:tcW w:w="7875" w:type="dxa"/>
            <w:noWrap w:val="0"/>
            <w:vAlign w:val="center"/>
          </w:tcPr>
          <w:p>
            <w:pPr>
              <w:keepNext w:val="0"/>
              <w:keepLines w:val="0"/>
              <w:pageBreakBefore w:val="0"/>
              <w:kinsoku/>
              <w:wordWrap/>
              <w:overflowPunct/>
              <w:topLinePunct w:val="0"/>
              <w:bidi w:val="0"/>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b w:val="0"/>
                <w:bCs w:val="0"/>
                <w:color w:val="auto"/>
                <w:kern w:val="2"/>
                <w:sz w:val="21"/>
                <w:szCs w:val="21"/>
                <w:highlight w:val="none"/>
                <w:lang w:val="en-US" w:eastAsia="zh-CN" w:bidi="zh-CN"/>
              </w:rPr>
              <w:t>自2021年1月1日</w:t>
            </w:r>
            <w:r>
              <w:rPr>
                <w:rFonts w:hint="eastAsia" w:ascii="仿宋" w:hAnsi="仿宋" w:eastAsia="仿宋" w:cs="仿宋"/>
                <w:b w:val="0"/>
                <w:bCs w:val="0"/>
                <w:strike w:val="0"/>
                <w:dstrike w:val="0"/>
                <w:color w:val="auto"/>
                <w:kern w:val="2"/>
                <w:sz w:val="21"/>
                <w:szCs w:val="21"/>
                <w:highlight w:val="none"/>
                <w:lang w:val="en-US" w:eastAsia="zh-CN" w:bidi="zh-CN"/>
              </w:rPr>
              <w:t>至投标截止时间止</w:t>
            </w:r>
            <w:r>
              <w:rPr>
                <w:rFonts w:hint="eastAsia" w:ascii="仿宋" w:hAnsi="仿宋" w:eastAsia="仿宋" w:cs="仿宋"/>
                <w:b w:val="0"/>
                <w:bCs w:val="0"/>
                <w:color w:val="auto"/>
                <w:kern w:val="2"/>
                <w:sz w:val="21"/>
                <w:szCs w:val="21"/>
                <w:highlight w:val="none"/>
                <w:lang w:val="en-US" w:eastAsia="zh-CN" w:bidi="zh-CN"/>
              </w:rPr>
              <w:t>（以合同签订时间为准），</w:t>
            </w:r>
            <w:r>
              <w:rPr>
                <w:rFonts w:hint="eastAsia" w:ascii="仿宋" w:hAnsi="仿宋" w:eastAsia="仿宋" w:cs="仿宋"/>
                <w:color w:val="auto"/>
                <w:sz w:val="21"/>
                <w:szCs w:val="21"/>
                <w:highlight w:val="none"/>
                <w:lang w:val="en-US" w:eastAsia="zh-CN"/>
              </w:rPr>
              <w:t>投标人</w:t>
            </w:r>
            <w:r>
              <w:rPr>
                <w:rFonts w:hint="eastAsia" w:ascii="仿宋" w:hAnsi="仿宋" w:eastAsia="仿宋" w:cs="仿宋"/>
                <w:b w:val="0"/>
                <w:bCs w:val="0"/>
                <w:color w:val="auto"/>
                <w:kern w:val="2"/>
                <w:sz w:val="21"/>
                <w:szCs w:val="21"/>
                <w:highlight w:val="none"/>
                <w:lang w:val="en-US" w:eastAsia="zh-CN" w:bidi="zh-CN"/>
              </w:rPr>
              <w:t>承担过</w:t>
            </w:r>
            <w:r>
              <w:rPr>
                <w:rFonts w:hint="eastAsia" w:ascii="仿宋" w:hAnsi="仿宋" w:eastAsia="仿宋" w:cs="仿宋"/>
                <w:color w:val="auto"/>
                <w:sz w:val="21"/>
                <w:szCs w:val="21"/>
                <w:highlight w:val="none"/>
                <w:lang w:val="en-US" w:eastAsia="zh-CN"/>
              </w:rPr>
              <w:t>类似</w:t>
            </w:r>
            <w:r>
              <w:rPr>
                <w:rFonts w:hint="eastAsia" w:ascii="仿宋" w:hAnsi="仿宋" w:eastAsia="仿宋" w:cs="仿宋"/>
                <w:b w:val="0"/>
                <w:bCs w:val="0"/>
                <w:color w:val="auto"/>
                <w:kern w:val="2"/>
                <w:sz w:val="21"/>
                <w:szCs w:val="21"/>
                <w:highlight w:val="none"/>
                <w:lang w:val="en-US" w:eastAsia="zh-CN" w:bidi="zh-CN"/>
              </w:rPr>
              <w:t>会议室设备</w:t>
            </w:r>
            <w:r>
              <w:rPr>
                <w:rFonts w:hint="eastAsia" w:ascii="仿宋" w:hAnsi="仿宋" w:eastAsia="仿宋" w:cs="仿宋"/>
                <w:color w:val="auto"/>
                <w:sz w:val="21"/>
                <w:szCs w:val="21"/>
                <w:highlight w:val="none"/>
                <w:lang w:val="en-US" w:eastAsia="zh-CN"/>
              </w:rPr>
              <w:t>成功案例的</w:t>
            </w:r>
            <w:r>
              <w:rPr>
                <w:rFonts w:hint="eastAsia" w:ascii="仿宋" w:hAnsi="仿宋" w:eastAsia="仿宋" w:cs="仿宋"/>
                <w:b w:val="0"/>
                <w:bCs w:val="0"/>
                <w:color w:val="auto"/>
                <w:kern w:val="2"/>
                <w:sz w:val="21"/>
                <w:szCs w:val="21"/>
                <w:highlight w:val="none"/>
                <w:lang w:val="en-US" w:eastAsia="zh-CN" w:bidi="zh-CN"/>
              </w:rPr>
              <w:t>，合同金额不低于3万元，每提供一个业绩得2分,满分得6分。</w:t>
            </w:r>
            <w:r>
              <w:rPr>
                <w:rFonts w:hint="eastAsia" w:ascii="仿宋" w:hAnsi="仿宋" w:eastAsia="仿宋" w:cs="仿宋"/>
                <w:b/>
                <w:bCs/>
                <w:color w:val="auto"/>
                <w:kern w:val="2"/>
                <w:sz w:val="21"/>
                <w:szCs w:val="21"/>
                <w:highlight w:val="none"/>
                <w:lang w:val="en-US" w:eastAsia="zh-CN" w:bidi="zh-CN"/>
              </w:rPr>
              <w:t>注：须提供合同原件扫描件，否则不得分。</w:t>
            </w:r>
          </w:p>
        </w:tc>
        <w:tc>
          <w:tcPr>
            <w:tcW w:w="1038" w:type="dxa"/>
            <w:noWrap w:val="0"/>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Cs/>
                <w:kern w:val="0"/>
                <w:sz w:val="21"/>
                <w:szCs w:val="21"/>
                <w:highlight w:val="none"/>
                <w:lang w:val="en-US" w:eastAsia="zh-CN" w:bidi="ar"/>
              </w:rPr>
            </w:pPr>
            <w:r>
              <w:rPr>
                <w:rFonts w:hint="eastAsia" w:ascii="仿宋" w:hAnsi="仿宋" w:eastAsia="仿宋" w:cs="仿宋"/>
                <w:bCs/>
                <w:kern w:val="0"/>
                <w:sz w:val="21"/>
                <w:szCs w:val="21"/>
                <w:highlight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noWrap w:val="0"/>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Cs/>
                <w:color w:val="auto"/>
                <w:kern w:val="0"/>
                <w:sz w:val="21"/>
                <w:szCs w:val="21"/>
                <w:highlight w:val="none"/>
                <w:lang w:bidi="ar"/>
              </w:rPr>
            </w:pPr>
            <w:r>
              <w:rPr>
                <w:rFonts w:hint="eastAsia" w:ascii="仿宋" w:hAnsi="仿宋" w:eastAsia="仿宋" w:cs="仿宋"/>
                <w:b w:val="0"/>
                <w:bCs w:val="0"/>
                <w:color w:val="auto"/>
                <w:kern w:val="2"/>
                <w:sz w:val="21"/>
                <w:szCs w:val="21"/>
                <w:highlight w:val="none"/>
                <w:lang w:val="en-US" w:eastAsia="zh-CN" w:bidi="zh-CN"/>
              </w:rPr>
              <w:t>认证证书</w:t>
            </w:r>
          </w:p>
        </w:tc>
        <w:tc>
          <w:tcPr>
            <w:tcW w:w="7875" w:type="dxa"/>
            <w:noWrap w:val="0"/>
            <w:vAlign w:val="center"/>
          </w:tcPr>
          <w:p>
            <w:pPr>
              <w:keepNext w:val="0"/>
              <w:keepLines w:val="0"/>
              <w:pageBreakBefore w:val="0"/>
              <w:widowControl/>
              <w:kinsoku/>
              <w:wordWrap/>
              <w:overflowPunct/>
              <w:topLinePunct w:val="0"/>
              <w:bidi w:val="0"/>
              <w:adjustRightIn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b w:val="0"/>
                <w:bCs w:val="0"/>
                <w:color w:val="auto"/>
                <w:kern w:val="2"/>
                <w:sz w:val="21"/>
                <w:szCs w:val="21"/>
                <w:highlight w:val="none"/>
                <w:lang w:val="en-US" w:eastAsia="zh-CN" w:bidi="zh-CN"/>
              </w:rPr>
              <w:t>投标品牌设备具备有效期内的质量管理体系、环境认证体系、职业健康管理体系认证证书每一项得3分，最高得9分。</w:t>
            </w:r>
            <w:r>
              <w:rPr>
                <w:rFonts w:hint="eastAsia" w:ascii="仿宋" w:hAnsi="仿宋" w:eastAsia="仿宋" w:cs="仿宋"/>
                <w:b/>
                <w:bCs/>
                <w:color w:val="auto"/>
                <w:kern w:val="2"/>
                <w:sz w:val="21"/>
                <w:szCs w:val="21"/>
                <w:highlight w:val="none"/>
                <w:lang w:val="en-US" w:eastAsia="zh-CN" w:bidi="zh-CN"/>
              </w:rPr>
              <w:t>注：提供证书原件扫描件，否则不得分。</w:t>
            </w:r>
          </w:p>
        </w:tc>
        <w:tc>
          <w:tcPr>
            <w:tcW w:w="1038" w:type="dxa"/>
            <w:noWrap w:val="0"/>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Cs/>
                <w:kern w:val="0"/>
                <w:sz w:val="21"/>
                <w:szCs w:val="21"/>
                <w:highlight w:val="none"/>
                <w:lang w:val="en-US" w:eastAsia="zh-CN" w:bidi="ar"/>
              </w:rPr>
            </w:pPr>
            <w:r>
              <w:rPr>
                <w:rFonts w:hint="eastAsia" w:ascii="仿宋" w:hAnsi="仿宋" w:eastAsia="仿宋" w:cs="仿宋"/>
                <w:bCs/>
                <w:kern w:val="0"/>
                <w:sz w:val="21"/>
                <w:szCs w:val="21"/>
                <w:highlight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noWrap w:val="0"/>
            <w:vAlign w:val="center"/>
          </w:tcPr>
          <w:p>
            <w:pPr>
              <w:keepNext w:val="0"/>
              <w:keepLines w:val="0"/>
              <w:pageBreakBefore w:val="0"/>
              <w:kinsoku/>
              <w:wordWrap/>
              <w:overflowPunct/>
              <w:topLinePunct w:val="0"/>
              <w:bidi w:val="0"/>
              <w:spacing w:line="360" w:lineRule="auto"/>
              <w:jc w:val="center"/>
              <w:textAlignment w:val="center"/>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lang w:eastAsia="zh-CN"/>
              </w:rPr>
              <w:t>技术参数</w:t>
            </w:r>
          </w:p>
        </w:tc>
        <w:tc>
          <w:tcPr>
            <w:tcW w:w="7875" w:type="dxa"/>
            <w:noWrap w:val="0"/>
            <w:vAlign w:val="center"/>
          </w:tcPr>
          <w:p>
            <w:pPr>
              <w:keepNext w:val="0"/>
              <w:keepLines w:val="0"/>
              <w:pageBreakBefore w:val="0"/>
              <w:widowControl/>
              <w:kinsoku/>
              <w:wordWrap/>
              <w:overflowPunct/>
              <w:topLinePunct w:val="0"/>
              <w:bidi w:val="0"/>
              <w:adjustRightIn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bCs/>
                <w:color w:val="auto"/>
                <w:kern w:val="0"/>
                <w:sz w:val="21"/>
                <w:szCs w:val="21"/>
                <w:highlight w:val="none"/>
                <w:lang w:eastAsia="zh-CN"/>
              </w:rPr>
              <w:t>技术参数</w:t>
            </w:r>
            <w:r>
              <w:rPr>
                <w:rFonts w:hint="eastAsia" w:ascii="仿宋" w:hAnsi="仿宋" w:eastAsia="仿宋" w:cs="仿宋"/>
                <w:bCs/>
                <w:color w:val="auto"/>
                <w:kern w:val="0"/>
                <w:sz w:val="21"/>
                <w:szCs w:val="21"/>
                <w:highlight w:val="none"/>
                <w:lang w:val="en-US" w:eastAsia="zh-CN"/>
              </w:rPr>
              <w:t>中</w:t>
            </w:r>
            <w:r>
              <w:rPr>
                <w:rFonts w:hint="eastAsia" w:ascii="仿宋" w:hAnsi="仿宋" w:eastAsia="仿宋" w:cs="仿宋"/>
                <w:color w:val="auto"/>
                <w:sz w:val="21"/>
                <w:szCs w:val="21"/>
                <w:highlight w:val="none"/>
                <w:lang w:val="en-US" w:eastAsia="zh-CN"/>
              </w:rPr>
              <w:t>带★的条款</w:t>
            </w:r>
            <w:r>
              <w:rPr>
                <w:rFonts w:hint="eastAsia" w:ascii="仿宋" w:hAnsi="仿宋" w:eastAsia="仿宋" w:cs="仿宋"/>
                <w:bCs/>
                <w:color w:val="auto"/>
                <w:kern w:val="0"/>
                <w:sz w:val="21"/>
                <w:szCs w:val="21"/>
                <w:highlight w:val="none"/>
                <w:lang w:val="en-US" w:eastAsia="zh-CN"/>
              </w:rPr>
              <w:t>全部正偏离的</w:t>
            </w:r>
            <w:r>
              <w:rPr>
                <w:rFonts w:hint="eastAsia" w:ascii="仿宋" w:hAnsi="仿宋" w:eastAsia="仿宋" w:cs="仿宋"/>
                <w:color w:val="auto"/>
                <w:sz w:val="21"/>
                <w:szCs w:val="21"/>
                <w:highlight w:val="none"/>
                <w:lang w:val="en-US" w:eastAsia="zh-CN"/>
              </w:rPr>
              <w:t>得30分；每负偏离一项的扣</w:t>
            </w:r>
            <w:r>
              <w:rPr>
                <w:rFonts w:hint="default" w:ascii="仿宋" w:hAnsi="仿宋" w:eastAsia="仿宋" w:cs="仿宋"/>
                <w:color w:val="auto"/>
                <w:sz w:val="21"/>
                <w:szCs w:val="21"/>
                <w:highlight w:val="none"/>
                <w:lang w:eastAsia="zh-CN"/>
              </w:rPr>
              <w:t>3</w:t>
            </w:r>
            <w:r>
              <w:rPr>
                <w:rFonts w:hint="eastAsia" w:ascii="仿宋" w:hAnsi="仿宋" w:eastAsia="仿宋" w:cs="仿宋"/>
                <w:color w:val="auto"/>
                <w:sz w:val="21"/>
                <w:szCs w:val="21"/>
                <w:highlight w:val="none"/>
                <w:lang w:val="en-US" w:eastAsia="zh-CN"/>
              </w:rPr>
              <w:t>分，扣完为止。</w:t>
            </w:r>
          </w:p>
        </w:tc>
        <w:tc>
          <w:tcPr>
            <w:tcW w:w="1038" w:type="dxa"/>
            <w:noWrap w:val="0"/>
            <w:vAlign w:val="center"/>
          </w:tcPr>
          <w:p>
            <w:pPr>
              <w:keepNext w:val="0"/>
              <w:keepLines w:val="0"/>
              <w:pageBreakBefore w:val="0"/>
              <w:kinsoku/>
              <w:wordWrap/>
              <w:overflowPunct/>
              <w:topLinePunct w:val="0"/>
              <w:bidi w:val="0"/>
              <w:spacing w:line="360" w:lineRule="auto"/>
              <w:jc w:val="center"/>
              <w:textAlignment w:val="center"/>
              <w:rPr>
                <w:rFonts w:hint="default" w:ascii="仿宋" w:hAnsi="仿宋" w:eastAsia="仿宋" w:cs="仿宋"/>
                <w:bCs/>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noWrap w:val="0"/>
            <w:vAlign w:val="center"/>
          </w:tcPr>
          <w:p>
            <w:pPr>
              <w:keepNext w:val="0"/>
              <w:keepLines w:val="0"/>
              <w:pageBreakBefore w:val="0"/>
              <w:kinsoku/>
              <w:wordWrap/>
              <w:overflowPunct/>
              <w:topLinePunct w:val="0"/>
              <w:bidi w:val="0"/>
              <w:spacing w:line="360" w:lineRule="auto"/>
              <w:jc w:val="center"/>
              <w:textAlignment w:val="center"/>
              <w:rPr>
                <w:rFonts w:hint="eastAsia" w:ascii="仿宋" w:hAnsi="仿宋" w:eastAsia="仿宋" w:cs="仿宋"/>
                <w:bCs/>
                <w:color w:val="auto"/>
                <w:kern w:val="0"/>
                <w:sz w:val="21"/>
                <w:szCs w:val="21"/>
                <w:highlight w:val="none"/>
                <w:lang w:val="en-US" w:eastAsia="zh-CN"/>
              </w:rPr>
            </w:pPr>
            <w:bookmarkStart w:id="159" w:name="_Toc30064"/>
            <w:bookmarkStart w:id="160" w:name="_Toc356371476"/>
            <w:bookmarkStart w:id="161" w:name="_Toc359856829"/>
            <w:r>
              <w:rPr>
                <w:rFonts w:hint="eastAsia" w:ascii="仿宋" w:hAnsi="仿宋" w:eastAsia="仿宋" w:cs="仿宋"/>
                <w:color w:val="auto"/>
                <w:sz w:val="21"/>
                <w:szCs w:val="21"/>
                <w:highlight w:val="none"/>
                <w:lang w:val="en-US" w:eastAsia="zh-CN"/>
              </w:rPr>
              <w:t>项目团队工程师</w:t>
            </w:r>
          </w:p>
        </w:tc>
        <w:tc>
          <w:tcPr>
            <w:tcW w:w="7875" w:type="dxa"/>
            <w:noWrap w:val="0"/>
            <w:vAlign w:val="center"/>
          </w:tcPr>
          <w:p>
            <w:pPr>
              <w:keepNext w:val="0"/>
              <w:keepLines w:val="0"/>
              <w:pageBreakBefore w:val="0"/>
              <w:widowControl/>
              <w:kinsoku/>
              <w:wordWrap/>
              <w:overflowPunct/>
              <w:topLinePunct w:val="0"/>
              <w:bidi w:val="0"/>
              <w:adjustRightInd w:val="0"/>
              <w:spacing w:line="360" w:lineRule="auto"/>
              <w:ind w:left="630" w:leftChars="200" w:hanging="210" w:hangingChars="10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投标人团队拥有声学设计工程师证书得3分，无证书不得分；团队具有安装</w:t>
            </w:r>
          </w:p>
          <w:p>
            <w:pPr>
              <w:keepNext w:val="0"/>
              <w:keepLines w:val="0"/>
              <w:pageBreakBefore w:val="0"/>
              <w:widowControl/>
              <w:kinsoku/>
              <w:wordWrap/>
              <w:overflowPunct/>
              <w:topLinePunct w:val="0"/>
              <w:bidi w:val="0"/>
              <w:adjustRightInd w:val="0"/>
              <w:spacing w:line="360" w:lineRule="auto"/>
              <w:jc w:val="left"/>
              <w:rPr>
                <w:rFonts w:hint="eastAsia" w:ascii="仿宋" w:hAnsi="仿宋" w:eastAsia="仿宋" w:cs="仿宋"/>
                <w:bCs/>
                <w:color w:val="auto"/>
                <w:kern w:val="0"/>
                <w:sz w:val="21"/>
                <w:szCs w:val="21"/>
                <w:highlight w:val="none"/>
              </w:rPr>
            </w:pPr>
            <w:r>
              <w:rPr>
                <w:rFonts w:hint="eastAsia" w:ascii="仿宋" w:hAnsi="仿宋" w:eastAsia="仿宋" w:cs="仿宋"/>
                <w:color w:val="auto"/>
                <w:sz w:val="21"/>
                <w:szCs w:val="21"/>
                <w:highlight w:val="none"/>
                <w:lang w:val="en-US" w:eastAsia="zh-CN"/>
              </w:rPr>
              <w:t>维护人员人数达3人及以上得3分，每少一人，扣1分，扣完为止。</w:t>
            </w:r>
          </w:p>
        </w:tc>
        <w:tc>
          <w:tcPr>
            <w:tcW w:w="1038" w:type="dxa"/>
            <w:noWrap w:val="0"/>
            <w:vAlign w:val="center"/>
          </w:tcPr>
          <w:p>
            <w:pPr>
              <w:keepNext w:val="0"/>
              <w:keepLines w:val="0"/>
              <w:pageBreakBefore w:val="0"/>
              <w:kinsoku/>
              <w:wordWrap/>
              <w:overflowPunct/>
              <w:topLinePunct w:val="0"/>
              <w:bidi w:val="0"/>
              <w:spacing w:line="360" w:lineRule="auto"/>
              <w:jc w:val="center"/>
              <w:textAlignment w:val="center"/>
              <w:rPr>
                <w:rFonts w:hint="eastAsia" w:ascii="仿宋" w:hAnsi="仿宋" w:eastAsia="仿宋" w:cs="仿宋"/>
                <w:bCs/>
                <w:kern w:val="0"/>
                <w:sz w:val="21"/>
                <w:szCs w:val="21"/>
                <w:highlight w:val="none"/>
              </w:rPr>
            </w:pPr>
            <w:r>
              <w:rPr>
                <w:rFonts w:hint="eastAsia" w:ascii="仿宋" w:hAnsi="仿宋" w:eastAsia="仿宋" w:cs="仿宋"/>
                <w:bCs/>
                <w:color w:val="auto"/>
                <w:kern w:val="0"/>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00" w:type="dxa"/>
            <w:noWrap w:val="0"/>
            <w:vAlign w:val="center"/>
          </w:tcPr>
          <w:p>
            <w:pPr>
              <w:keepNext w:val="0"/>
              <w:keepLines w:val="0"/>
              <w:pageBreakBefore w:val="0"/>
              <w:kinsoku/>
              <w:wordWrap/>
              <w:overflowPunct/>
              <w:topLinePunct w:val="0"/>
              <w:bidi w:val="0"/>
              <w:spacing w:line="360" w:lineRule="auto"/>
              <w:jc w:val="center"/>
              <w:textAlignment w:val="center"/>
              <w:rPr>
                <w:rFonts w:hint="eastAsia" w:ascii="仿宋" w:hAnsi="仿宋" w:eastAsia="仿宋" w:cs="仿宋"/>
                <w:bCs/>
                <w:color w:val="auto"/>
                <w:kern w:val="0"/>
                <w:sz w:val="21"/>
                <w:szCs w:val="21"/>
                <w:highlight w:val="none"/>
              </w:rPr>
            </w:pPr>
            <w:r>
              <w:rPr>
                <w:rFonts w:hint="eastAsia" w:ascii="仿宋" w:hAnsi="仿宋" w:eastAsia="仿宋" w:cs="仿宋"/>
                <w:color w:val="auto"/>
                <w:sz w:val="21"/>
                <w:szCs w:val="21"/>
                <w:highlight w:val="none"/>
                <w:lang w:val="en-US" w:eastAsia="zh-CN"/>
              </w:rPr>
              <w:t>施工组织方案</w:t>
            </w:r>
          </w:p>
        </w:tc>
        <w:tc>
          <w:tcPr>
            <w:tcW w:w="7875" w:type="dxa"/>
            <w:noWrap w:val="0"/>
            <w:vAlign w:val="center"/>
          </w:tcPr>
          <w:p>
            <w:pPr>
              <w:keepNext w:val="0"/>
              <w:keepLines w:val="0"/>
              <w:pageBreakBefore w:val="0"/>
              <w:kinsoku/>
              <w:wordWrap/>
              <w:overflowPunct/>
              <w:topLinePunct w:val="0"/>
              <w:bidi w:val="0"/>
              <w:spacing w:line="360" w:lineRule="auto"/>
              <w:jc w:val="center"/>
              <w:textAlignment w:val="center"/>
              <w:rPr>
                <w:rFonts w:hint="eastAsia" w:ascii="仿宋" w:hAnsi="仿宋" w:eastAsia="仿宋" w:cs="仿宋"/>
                <w:bCs/>
                <w:color w:val="auto"/>
                <w:kern w:val="0"/>
                <w:sz w:val="21"/>
                <w:szCs w:val="21"/>
                <w:highlight w:val="none"/>
              </w:rPr>
            </w:pPr>
            <w:r>
              <w:rPr>
                <w:rFonts w:hint="eastAsia" w:ascii="仿宋" w:hAnsi="仿宋" w:eastAsia="仿宋" w:cs="仿宋"/>
                <w:color w:val="auto"/>
                <w:sz w:val="21"/>
                <w:szCs w:val="21"/>
                <w:highlight w:val="none"/>
                <w:lang w:val="en-US" w:eastAsia="zh-CN"/>
              </w:rPr>
              <w:t xml:space="preserve">  项目实施方案科学合理，管理与组织到位，具备完整的质量保证体系和项目风险控制手段和机制，由评委综合打分（一般0-2分，较好3-4，好5-6分）。</w:t>
            </w:r>
          </w:p>
        </w:tc>
        <w:tc>
          <w:tcPr>
            <w:tcW w:w="1038" w:type="dxa"/>
            <w:noWrap w:val="0"/>
            <w:vAlign w:val="center"/>
          </w:tcPr>
          <w:p>
            <w:pPr>
              <w:keepNext w:val="0"/>
              <w:keepLines w:val="0"/>
              <w:pageBreakBefore w:val="0"/>
              <w:kinsoku/>
              <w:wordWrap/>
              <w:overflowPunct/>
              <w:topLinePunct w:val="0"/>
              <w:bidi w:val="0"/>
              <w:spacing w:line="360" w:lineRule="auto"/>
              <w:jc w:val="center"/>
              <w:textAlignment w:val="center"/>
              <w:rPr>
                <w:rFonts w:hint="eastAsia" w:ascii="仿宋" w:hAnsi="仿宋" w:eastAsia="仿宋" w:cs="仿宋"/>
                <w:bCs/>
                <w:kern w:val="0"/>
                <w:sz w:val="21"/>
                <w:szCs w:val="21"/>
                <w:highlight w:val="none"/>
              </w:rPr>
            </w:pPr>
            <w:r>
              <w:rPr>
                <w:rFonts w:hint="eastAsia" w:ascii="仿宋" w:hAnsi="仿宋" w:eastAsia="仿宋" w:cs="仿宋"/>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noWrap w:val="0"/>
            <w:vAlign w:val="center"/>
          </w:tcPr>
          <w:p>
            <w:pPr>
              <w:keepNext w:val="0"/>
              <w:keepLines w:val="0"/>
              <w:pageBreakBefore w:val="0"/>
              <w:kinsoku/>
              <w:wordWrap/>
              <w:overflowPunct/>
              <w:topLinePunct w:val="0"/>
              <w:bidi w:val="0"/>
              <w:spacing w:line="360" w:lineRule="auto"/>
              <w:jc w:val="center"/>
              <w:textAlignment w:val="center"/>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lang w:val="en-US" w:eastAsia="zh-CN"/>
              </w:rPr>
              <w:t>售后服务</w:t>
            </w:r>
          </w:p>
        </w:tc>
        <w:tc>
          <w:tcPr>
            <w:tcW w:w="7875" w:type="dxa"/>
            <w:noWrap w:val="0"/>
            <w:vAlign w:val="center"/>
          </w:tcPr>
          <w:p>
            <w:pPr>
              <w:keepNext w:val="0"/>
              <w:keepLines w:val="0"/>
              <w:pageBreakBefore w:val="0"/>
              <w:widowControl/>
              <w:kinsoku/>
              <w:wordWrap/>
              <w:overflowPunct/>
              <w:topLinePunct w:val="0"/>
              <w:bidi w:val="0"/>
              <w:adjustRightInd w:val="0"/>
              <w:spacing w:line="360" w:lineRule="auto"/>
              <w:ind w:firstLine="420" w:firstLineChars="200"/>
              <w:jc w:val="left"/>
              <w:rPr>
                <w:rFonts w:hint="default" w:ascii="仿宋" w:hAnsi="仿宋" w:eastAsia="仿宋" w:cs="仿宋"/>
                <w:bCs/>
                <w:color w:val="auto"/>
                <w:kern w:val="0"/>
                <w:sz w:val="21"/>
                <w:szCs w:val="21"/>
                <w:highlight w:val="none"/>
                <w:lang w:val="en-US"/>
              </w:rPr>
            </w:pPr>
            <w:r>
              <w:rPr>
                <w:rFonts w:hint="eastAsia" w:ascii="仿宋" w:hAnsi="仿宋" w:eastAsia="仿宋" w:cs="仿宋"/>
                <w:b w:val="0"/>
                <w:bCs w:val="0"/>
                <w:color w:val="auto"/>
                <w:kern w:val="2"/>
                <w:sz w:val="21"/>
                <w:szCs w:val="21"/>
                <w:highlight w:val="none"/>
                <w:lang w:val="en-US" w:eastAsia="zh-CN" w:bidi="zh-CN"/>
              </w:rPr>
              <w:t>根据投标人提供的售后服务响应时间进行打分；售后服务响应时间24小时内的3分；售后服务响应时间48小时内的2分；售后服务响应时间48小时以后的1分</w:t>
            </w:r>
            <w:r>
              <w:rPr>
                <w:rFonts w:hint="eastAsia" w:ascii="仿宋" w:hAnsi="仿宋" w:eastAsia="仿宋" w:cs="仿宋"/>
                <w:color w:val="auto"/>
                <w:sz w:val="21"/>
                <w:szCs w:val="21"/>
                <w:highlight w:val="none"/>
                <w:lang w:val="en-US" w:eastAsia="zh-CN"/>
              </w:rPr>
              <w:t>。</w:t>
            </w:r>
          </w:p>
        </w:tc>
        <w:tc>
          <w:tcPr>
            <w:tcW w:w="1038" w:type="dxa"/>
            <w:noWrap w:val="0"/>
            <w:vAlign w:val="center"/>
          </w:tcPr>
          <w:p>
            <w:pPr>
              <w:keepNext w:val="0"/>
              <w:keepLines w:val="0"/>
              <w:pageBreakBefore w:val="0"/>
              <w:kinsoku/>
              <w:wordWrap/>
              <w:overflowPunct/>
              <w:topLinePunct w:val="0"/>
              <w:bidi w:val="0"/>
              <w:spacing w:line="360" w:lineRule="auto"/>
              <w:jc w:val="center"/>
              <w:textAlignment w:val="center"/>
              <w:rPr>
                <w:rFonts w:hint="eastAsia" w:ascii="仿宋" w:hAnsi="仿宋" w:eastAsia="仿宋" w:cs="仿宋"/>
                <w:bCs/>
                <w:kern w:val="0"/>
                <w:sz w:val="21"/>
                <w:szCs w:val="21"/>
                <w:highlight w:val="none"/>
              </w:rPr>
            </w:pPr>
            <w:r>
              <w:rPr>
                <w:rFonts w:hint="eastAsia" w:ascii="仿宋" w:hAnsi="仿宋" w:eastAsia="仿宋" w:cs="仿宋"/>
                <w:bCs/>
                <w:color w:val="auto"/>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noWrap w:val="0"/>
            <w:vAlign w:val="center"/>
          </w:tcPr>
          <w:p>
            <w:pPr>
              <w:keepNext w:val="0"/>
              <w:keepLines w:val="0"/>
              <w:pageBreakBefore w:val="0"/>
              <w:kinsoku/>
              <w:wordWrap/>
              <w:overflowPunct/>
              <w:topLinePunct w:val="0"/>
              <w:bidi w:val="0"/>
              <w:spacing w:line="360" w:lineRule="auto"/>
              <w:jc w:val="center"/>
              <w:textAlignment w:val="center"/>
              <w:rPr>
                <w:rFonts w:hint="eastAsia" w:ascii="仿宋" w:hAnsi="仿宋" w:eastAsia="仿宋" w:cs="仿宋"/>
                <w:bCs/>
                <w:color w:val="auto"/>
                <w:kern w:val="0"/>
                <w:sz w:val="21"/>
                <w:szCs w:val="21"/>
                <w:highlight w:val="none"/>
              </w:rPr>
            </w:pPr>
            <w:r>
              <w:rPr>
                <w:rFonts w:hint="eastAsia" w:ascii="仿宋" w:hAnsi="仿宋" w:eastAsia="仿宋" w:cs="仿宋"/>
                <w:b w:val="0"/>
                <w:bCs w:val="0"/>
                <w:color w:val="auto"/>
                <w:kern w:val="2"/>
                <w:sz w:val="21"/>
                <w:szCs w:val="21"/>
                <w:highlight w:val="none"/>
                <w:lang w:val="en-US" w:eastAsia="zh-CN" w:bidi="zh-CN"/>
              </w:rPr>
              <w:t>质保期</w:t>
            </w:r>
          </w:p>
        </w:tc>
        <w:tc>
          <w:tcPr>
            <w:tcW w:w="7875" w:type="dxa"/>
            <w:noWrap w:val="0"/>
            <w:vAlign w:val="center"/>
          </w:tcPr>
          <w:p>
            <w:pPr>
              <w:keepNext w:val="0"/>
              <w:keepLines w:val="0"/>
              <w:pageBreakBefore w:val="0"/>
              <w:widowControl/>
              <w:kinsoku/>
              <w:wordWrap/>
              <w:overflowPunct/>
              <w:topLinePunct w:val="0"/>
              <w:bidi w:val="0"/>
              <w:adjustRightInd w:val="0"/>
              <w:spacing w:line="360" w:lineRule="auto"/>
              <w:ind w:firstLine="420" w:firstLineChars="200"/>
              <w:jc w:val="left"/>
              <w:rPr>
                <w:rFonts w:hint="eastAsia" w:ascii="仿宋" w:hAnsi="仿宋" w:eastAsia="仿宋" w:cs="仿宋"/>
                <w:bCs/>
                <w:color w:val="auto"/>
                <w:kern w:val="0"/>
                <w:sz w:val="21"/>
                <w:szCs w:val="21"/>
                <w:highlight w:val="none"/>
              </w:rPr>
            </w:pPr>
            <w:r>
              <w:rPr>
                <w:rFonts w:hint="eastAsia" w:ascii="仿宋" w:hAnsi="仿宋" w:eastAsia="仿宋" w:cs="仿宋"/>
                <w:b w:val="0"/>
                <w:bCs w:val="0"/>
                <w:color w:val="auto"/>
                <w:kern w:val="2"/>
                <w:sz w:val="21"/>
                <w:szCs w:val="21"/>
                <w:highlight w:val="none"/>
                <w:lang w:val="en-US" w:eastAsia="zh-CN" w:bidi="zh-CN"/>
              </w:rPr>
              <w:t>所投产品质保期每增加半年得1分，以此类推，最高得6分。</w:t>
            </w:r>
          </w:p>
        </w:tc>
        <w:tc>
          <w:tcPr>
            <w:tcW w:w="1038" w:type="dxa"/>
            <w:noWrap w:val="0"/>
            <w:vAlign w:val="center"/>
          </w:tcPr>
          <w:p>
            <w:pPr>
              <w:keepNext w:val="0"/>
              <w:keepLines w:val="0"/>
              <w:pageBreakBefore w:val="0"/>
              <w:kinsoku/>
              <w:wordWrap/>
              <w:overflowPunct/>
              <w:topLinePunct w:val="0"/>
              <w:bidi w:val="0"/>
              <w:spacing w:line="360" w:lineRule="auto"/>
              <w:jc w:val="center"/>
              <w:textAlignment w:val="center"/>
              <w:rPr>
                <w:rFonts w:hint="eastAsia" w:ascii="仿宋" w:hAnsi="仿宋" w:eastAsia="仿宋" w:cs="仿宋"/>
                <w:bCs/>
                <w:kern w:val="0"/>
                <w:sz w:val="21"/>
                <w:szCs w:val="21"/>
                <w:highlight w:val="none"/>
              </w:rPr>
            </w:pPr>
            <w:r>
              <w:rPr>
                <w:rFonts w:hint="eastAsia" w:ascii="仿宋" w:hAnsi="仿宋" w:eastAsia="仿宋" w:cs="仿宋"/>
                <w:bCs/>
                <w:color w:val="auto"/>
                <w:kern w:val="0"/>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noWrap w:val="0"/>
            <w:vAlign w:val="center"/>
          </w:tcPr>
          <w:p>
            <w:pPr>
              <w:keepNext w:val="0"/>
              <w:keepLines w:val="0"/>
              <w:pageBreakBefore w:val="0"/>
              <w:kinsoku/>
              <w:wordWrap/>
              <w:overflowPunct/>
              <w:topLinePunct w:val="0"/>
              <w:bidi w:val="0"/>
              <w:spacing w:line="360" w:lineRule="auto"/>
              <w:jc w:val="center"/>
              <w:textAlignment w:val="center"/>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bidi="zh-CN"/>
              </w:rPr>
              <w:t>交货期</w:t>
            </w:r>
          </w:p>
        </w:tc>
        <w:tc>
          <w:tcPr>
            <w:tcW w:w="7875" w:type="dxa"/>
            <w:noWrap w:val="0"/>
            <w:vAlign w:val="center"/>
          </w:tcPr>
          <w:p>
            <w:pPr>
              <w:keepNext w:val="0"/>
              <w:keepLines w:val="0"/>
              <w:pageBreakBefore w:val="0"/>
              <w:widowControl/>
              <w:kinsoku/>
              <w:wordWrap/>
              <w:overflowPunct/>
              <w:topLinePunct w:val="0"/>
              <w:bidi w:val="0"/>
              <w:adjustRightInd w:val="0"/>
              <w:spacing w:line="360" w:lineRule="auto"/>
              <w:ind w:firstLine="420" w:firstLineChars="200"/>
              <w:jc w:val="left"/>
              <w:rPr>
                <w:rFonts w:hint="eastAsia" w:ascii="仿宋" w:hAnsi="仿宋" w:eastAsia="仿宋" w:cs="仿宋"/>
                <w:b w:val="0"/>
                <w:bCs w:val="0"/>
                <w:color w:val="auto"/>
                <w:kern w:val="2"/>
                <w:sz w:val="21"/>
                <w:szCs w:val="21"/>
                <w:highlight w:val="none"/>
                <w:lang w:val="en-US" w:eastAsia="zh-CN" w:bidi="zh-CN"/>
              </w:rPr>
            </w:pPr>
            <w:r>
              <w:rPr>
                <w:rFonts w:hint="eastAsia" w:ascii="仿宋" w:hAnsi="仿宋" w:eastAsia="仿宋" w:cs="仿宋"/>
                <w:b w:val="0"/>
                <w:bCs w:val="0"/>
                <w:color w:val="auto"/>
                <w:kern w:val="2"/>
                <w:sz w:val="21"/>
                <w:szCs w:val="21"/>
                <w:highlight w:val="none"/>
                <w:lang w:val="en-US" w:eastAsia="zh-CN" w:bidi="zh-CN"/>
              </w:rPr>
              <w:t>投标人根据自身情况提供交货期承诺函，必须满足招标文件要求的30日历天工期，每提前3天得1分，以此类推，最高得4分。</w:t>
            </w:r>
          </w:p>
        </w:tc>
        <w:tc>
          <w:tcPr>
            <w:tcW w:w="1038" w:type="dxa"/>
            <w:noWrap w:val="0"/>
            <w:vAlign w:val="center"/>
          </w:tcPr>
          <w:p>
            <w:pPr>
              <w:keepNext w:val="0"/>
              <w:keepLines w:val="0"/>
              <w:pageBreakBefore w:val="0"/>
              <w:kinsoku/>
              <w:wordWrap/>
              <w:overflowPunct/>
              <w:topLinePunct w:val="0"/>
              <w:bidi w:val="0"/>
              <w:spacing w:line="360" w:lineRule="auto"/>
              <w:jc w:val="center"/>
              <w:textAlignment w:val="center"/>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5" w:type="dxa"/>
            <w:gridSpan w:val="2"/>
            <w:noWrap w:val="0"/>
            <w:vAlign w:val="center"/>
          </w:tcPr>
          <w:p>
            <w:pPr>
              <w:keepNext w:val="0"/>
              <w:keepLines w:val="0"/>
              <w:pageBreakBefore w:val="0"/>
              <w:widowControl/>
              <w:kinsoku/>
              <w:wordWrap/>
              <w:overflowPunct/>
              <w:topLinePunct w:val="0"/>
              <w:bidi w:val="0"/>
              <w:adjustRightInd w:val="0"/>
              <w:spacing w:line="360" w:lineRule="auto"/>
              <w:ind w:firstLine="420" w:firstLineChars="200"/>
              <w:jc w:val="center"/>
              <w:rPr>
                <w:rFonts w:hint="eastAsia" w:ascii="仿宋" w:hAnsi="仿宋" w:eastAsia="仿宋" w:cs="仿宋"/>
                <w:b w:val="0"/>
                <w:bCs w:val="0"/>
                <w:color w:val="auto"/>
                <w:kern w:val="2"/>
                <w:sz w:val="21"/>
                <w:szCs w:val="21"/>
                <w:highlight w:val="none"/>
                <w:lang w:val="en-US" w:eastAsia="zh-CN" w:bidi="zh-CN"/>
              </w:rPr>
            </w:pPr>
            <w:r>
              <w:rPr>
                <w:rFonts w:hint="eastAsia" w:ascii="仿宋" w:hAnsi="仿宋" w:eastAsia="仿宋" w:cs="仿宋"/>
                <w:color w:val="auto"/>
                <w:kern w:val="0"/>
                <w:sz w:val="21"/>
                <w:szCs w:val="21"/>
                <w:highlight w:val="none"/>
              </w:rPr>
              <w:t>合计</w:t>
            </w:r>
          </w:p>
        </w:tc>
        <w:tc>
          <w:tcPr>
            <w:tcW w:w="1038" w:type="dxa"/>
            <w:noWrap w:val="0"/>
            <w:vAlign w:val="center"/>
          </w:tcPr>
          <w:p>
            <w:pPr>
              <w:keepNext w:val="0"/>
              <w:keepLines w:val="0"/>
              <w:pageBreakBefore w:val="0"/>
              <w:kinsoku/>
              <w:wordWrap/>
              <w:overflowPunct/>
              <w:topLinePunct w:val="0"/>
              <w:bidi w:val="0"/>
              <w:spacing w:line="360" w:lineRule="auto"/>
              <w:jc w:val="center"/>
              <w:textAlignment w:val="center"/>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100分</w:t>
            </w:r>
          </w:p>
        </w:tc>
      </w:tr>
      <w:bookmarkEnd w:id="159"/>
      <w:bookmarkEnd w:id="160"/>
      <w:bookmarkEnd w:id="161"/>
    </w:tbl>
    <w:p>
      <w:pPr>
        <w:rPr>
          <w:rFonts w:hint="eastAsia" w:ascii="仿宋" w:hAnsi="仿宋" w:eastAsia="仿宋" w:cs="仿宋"/>
          <w:highlight w:val="none"/>
        </w:rPr>
      </w:pPr>
    </w:p>
    <w:p>
      <w:pPr>
        <w:keepNext/>
        <w:keepLines/>
        <w:pageBreakBefore w:val="0"/>
        <w:widowControl/>
        <w:snapToGrid w:val="0"/>
        <w:spacing w:line="360" w:lineRule="auto"/>
        <w:jc w:val="both"/>
        <w:outlineLvl w:val="0"/>
        <w:rPr>
          <w:rFonts w:hint="eastAsia" w:ascii="仿宋" w:hAnsi="仿宋" w:eastAsia="仿宋" w:cs="仿宋"/>
          <w:b/>
          <w:sz w:val="28"/>
          <w:szCs w:val="28"/>
          <w:highlight w:val="none"/>
        </w:rPr>
      </w:pPr>
      <w:bookmarkStart w:id="162" w:name="_Toc4906"/>
      <w:bookmarkStart w:id="163" w:name="_Toc22189"/>
      <w:bookmarkStart w:id="164" w:name="_Toc31776"/>
      <w:bookmarkStart w:id="165" w:name="_Toc22427"/>
      <w:bookmarkStart w:id="166" w:name="_Toc12825"/>
      <w:bookmarkStart w:id="167" w:name="_Toc26922"/>
    </w:p>
    <w:p>
      <w:pPr>
        <w:keepNext/>
        <w:keepLines/>
        <w:pageBreakBefore w:val="0"/>
        <w:widowControl/>
        <w:snapToGrid w:val="0"/>
        <w:spacing w:line="360" w:lineRule="auto"/>
        <w:jc w:val="both"/>
        <w:outlineLvl w:val="0"/>
        <w:rPr>
          <w:rFonts w:hint="eastAsia" w:ascii="仿宋" w:hAnsi="仿宋" w:eastAsia="仿宋" w:cs="仿宋"/>
          <w:b/>
          <w:sz w:val="28"/>
          <w:szCs w:val="28"/>
          <w:highlight w:val="none"/>
        </w:rPr>
      </w:pPr>
    </w:p>
    <w:p>
      <w:pPr>
        <w:pStyle w:val="8"/>
        <w:rPr>
          <w:rFonts w:hint="eastAsia" w:ascii="仿宋" w:hAnsi="仿宋" w:eastAsia="仿宋" w:cs="仿宋"/>
          <w:b/>
          <w:sz w:val="28"/>
          <w:szCs w:val="28"/>
          <w:highlight w:val="none"/>
        </w:rPr>
      </w:pPr>
    </w:p>
    <w:p>
      <w:pPr>
        <w:pStyle w:val="8"/>
        <w:rPr>
          <w:rFonts w:hint="eastAsia" w:ascii="仿宋" w:hAnsi="仿宋" w:eastAsia="仿宋" w:cs="仿宋"/>
          <w:b/>
          <w:sz w:val="28"/>
          <w:szCs w:val="28"/>
          <w:highlight w:val="none"/>
        </w:rPr>
      </w:pPr>
    </w:p>
    <w:p>
      <w:pPr>
        <w:pStyle w:val="8"/>
        <w:rPr>
          <w:rFonts w:hint="eastAsia" w:ascii="仿宋" w:hAnsi="仿宋" w:eastAsia="仿宋" w:cs="仿宋"/>
          <w:b/>
          <w:sz w:val="28"/>
          <w:szCs w:val="28"/>
          <w:highlight w:val="none"/>
        </w:rPr>
      </w:pPr>
    </w:p>
    <w:p>
      <w:pPr>
        <w:pStyle w:val="8"/>
        <w:rPr>
          <w:rFonts w:hint="eastAsia" w:ascii="仿宋" w:hAnsi="仿宋" w:eastAsia="仿宋" w:cs="仿宋"/>
          <w:b/>
          <w:sz w:val="28"/>
          <w:szCs w:val="28"/>
          <w:highlight w:val="none"/>
        </w:rPr>
      </w:pPr>
    </w:p>
    <w:p>
      <w:pPr>
        <w:pStyle w:val="8"/>
        <w:rPr>
          <w:rFonts w:hint="eastAsia" w:ascii="仿宋" w:hAnsi="仿宋" w:eastAsia="仿宋" w:cs="仿宋"/>
          <w:b/>
          <w:sz w:val="28"/>
          <w:szCs w:val="28"/>
          <w:highlight w:val="none"/>
        </w:rPr>
      </w:pPr>
    </w:p>
    <w:p>
      <w:pPr>
        <w:pStyle w:val="8"/>
        <w:rPr>
          <w:rFonts w:hint="eastAsia" w:ascii="仿宋" w:hAnsi="仿宋" w:eastAsia="仿宋" w:cs="仿宋"/>
          <w:b/>
          <w:sz w:val="28"/>
          <w:szCs w:val="28"/>
          <w:highlight w:val="none"/>
        </w:rPr>
      </w:pPr>
    </w:p>
    <w:p>
      <w:pPr>
        <w:pStyle w:val="8"/>
        <w:rPr>
          <w:rFonts w:hint="eastAsia" w:ascii="仿宋" w:hAnsi="仿宋" w:eastAsia="仿宋" w:cs="仿宋"/>
          <w:b/>
          <w:sz w:val="28"/>
          <w:szCs w:val="28"/>
          <w:highlight w:val="none"/>
        </w:rPr>
      </w:pPr>
    </w:p>
    <w:p>
      <w:pPr>
        <w:pStyle w:val="8"/>
        <w:rPr>
          <w:rFonts w:hint="eastAsia" w:ascii="仿宋" w:hAnsi="仿宋" w:eastAsia="仿宋" w:cs="仿宋"/>
          <w:b/>
          <w:sz w:val="28"/>
          <w:szCs w:val="28"/>
          <w:highlight w:val="none"/>
        </w:rPr>
      </w:pPr>
    </w:p>
    <w:p>
      <w:pPr>
        <w:pStyle w:val="8"/>
        <w:rPr>
          <w:rFonts w:hint="eastAsia" w:ascii="仿宋" w:hAnsi="仿宋" w:eastAsia="仿宋" w:cs="仿宋"/>
          <w:b/>
          <w:sz w:val="28"/>
          <w:szCs w:val="28"/>
          <w:highlight w:val="none"/>
        </w:rPr>
      </w:pPr>
    </w:p>
    <w:p>
      <w:pPr>
        <w:pStyle w:val="8"/>
        <w:rPr>
          <w:rFonts w:hint="eastAsia" w:ascii="仿宋" w:hAnsi="仿宋" w:eastAsia="仿宋" w:cs="仿宋"/>
          <w:b/>
          <w:sz w:val="28"/>
          <w:szCs w:val="28"/>
          <w:highlight w:val="none"/>
        </w:rPr>
      </w:pPr>
    </w:p>
    <w:p>
      <w:pPr>
        <w:pStyle w:val="8"/>
        <w:rPr>
          <w:rFonts w:hint="eastAsia" w:ascii="仿宋" w:hAnsi="仿宋" w:eastAsia="仿宋" w:cs="仿宋"/>
          <w:b/>
          <w:sz w:val="28"/>
          <w:szCs w:val="28"/>
          <w:highlight w:val="none"/>
        </w:rPr>
      </w:pPr>
    </w:p>
    <w:p>
      <w:pPr>
        <w:keepNext/>
        <w:keepLines/>
        <w:pageBreakBefore w:val="0"/>
        <w:widowControl/>
        <w:kinsoku/>
        <w:wordWrap/>
        <w:overflowPunct/>
        <w:topLinePunct w:val="0"/>
        <w:autoSpaceDE/>
        <w:autoSpaceDN/>
        <w:bidi w:val="0"/>
        <w:adjustRightInd/>
        <w:snapToGrid w:val="0"/>
        <w:spacing w:line="360" w:lineRule="auto"/>
        <w:ind w:left="0" w:leftChars="0"/>
        <w:jc w:val="center"/>
        <w:textAlignment w:val="auto"/>
        <w:outlineLvl w:val="0"/>
        <w:rPr>
          <w:rFonts w:hint="eastAsia" w:ascii="仿宋" w:hAnsi="仿宋" w:eastAsia="仿宋" w:cs="仿宋"/>
          <w:b/>
          <w:sz w:val="28"/>
          <w:szCs w:val="28"/>
          <w:highlight w:val="none"/>
        </w:rPr>
      </w:pPr>
      <w:r>
        <w:rPr>
          <w:rFonts w:hint="eastAsia" w:ascii="仿宋" w:hAnsi="仿宋" w:eastAsia="仿宋" w:cs="仿宋"/>
          <w:b/>
          <w:sz w:val="28"/>
          <w:szCs w:val="28"/>
          <w:highlight w:val="none"/>
        </w:rPr>
        <w:t>第六章  应提交的有关格式范例</w:t>
      </w:r>
      <w:bookmarkEnd w:id="130"/>
      <w:bookmarkEnd w:id="131"/>
      <w:bookmarkEnd w:id="132"/>
      <w:bookmarkEnd w:id="133"/>
      <w:bookmarkEnd w:id="134"/>
      <w:bookmarkEnd w:id="135"/>
      <w:bookmarkEnd w:id="136"/>
      <w:bookmarkEnd w:id="137"/>
      <w:bookmarkEnd w:id="162"/>
      <w:bookmarkEnd w:id="163"/>
      <w:bookmarkEnd w:id="164"/>
      <w:bookmarkEnd w:id="165"/>
      <w:bookmarkEnd w:id="166"/>
      <w:bookmarkEnd w:id="167"/>
    </w:p>
    <w:p>
      <w:pPr>
        <w:pageBreakBefore w:val="0"/>
        <w:kinsoku/>
        <w:wordWrap/>
        <w:overflowPunct/>
        <w:topLinePunct w:val="0"/>
        <w:autoSpaceDE/>
        <w:autoSpaceDN/>
        <w:bidi w:val="0"/>
        <w:adjustRightInd/>
        <w:snapToGrid w:val="0"/>
        <w:spacing w:line="360" w:lineRule="auto"/>
        <w:ind w:left="0" w:leftChars="0"/>
        <w:jc w:val="center"/>
        <w:textAlignment w:val="auto"/>
        <w:rPr>
          <w:rStyle w:val="27"/>
          <w:rFonts w:hint="eastAsia" w:ascii="仿宋" w:hAnsi="仿宋" w:eastAsia="仿宋" w:cs="仿宋"/>
          <w:sz w:val="28"/>
          <w:szCs w:val="28"/>
          <w:highlight w:val="none"/>
        </w:rPr>
      </w:pPr>
      <w:bookmarkStart w:id="168" w:name="_Toc29460"/>
      <w:bookmarkStart w:id="169" w:name="_Toc359856821"/>
    </w:p>
    <w:p>
      <w:pPr>
        <w:pageBreakBefore w:val="0"/>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b/>
          <w:sz w:val="28"/>
          <w:szCs w:val="28"/>
          <w:highlight w:val="none"/>
        </w:rPr>
      </w:pPr>
      <w:r>
        <w:rPr>
          <w:rStyle w:val="27"/>
          <w:rFonts w:hint="eastAsia" w:ascii="仿宋" w:hAnsi="仿宋" w:eastAsia="仿宋" w:cs="仿宋"/>
          <w:sz w:val="28"/>
          <w:szCs w:val="28"/>
          <w:highlight w:val="none"/>
        </w:rPr>
        <w:t>一、投标文件封面</w:t>
      </w:r>
      <w:bookmarkEnd w:id="168"/>
    </w:p>
    <w:p>
      <w:pPr>
        <w:pageBreakBefore w:val="0"/>
        <w:kinsoku/>
        <w:wordWrap/>
        <w:overflowPunct/>
        <w:topLinePunct w:val="0"/>
        <w:autoSpaceDE/>
        <w:autoSpaceDN/>
        <w:bidi w:val="0"/>
        <w:adjustRightInd/>
        <w:spacing w:line="360" w:lineRule="auto"/>
        <w:ind w:left="0" w:leftChars="0"/>
        <w:jc w:val="right"/>
        <w:textAlignment w:val="auto"/>
        <w:rPr>
          <w:rFonts w:hint="eastAsia" w:ascii="仿宋" w:hAnsi="仿宋" w:eastAsia="仿宋" w:cs="仿宋"/>
          <w:sz w:val="28"/>
          <w:szCs w:val="28"/>
          <w:highlight w:val="none"/>
        </w:rPr>
      </w:pPr>
    </w:p>
    <w:p>
      <w:pPr>
        <w:pageBreakBefore w:val="0"/>
        <w:kinsoku/>
        <w:wordWrap/>
        <w:overflowPunct/>
        <w:topLinePunct w:val="0"/>
        <w:autoSpaceDE/>
        <w:autoSpaceDN/>
        <w:bidi w:val="0"/>
        <w:adjustRightInd/>
        <w:spacing w:line="360" w:lineRule="auto"/>
        <w:ind w:left="0" w:left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pageBreakBefore w:val="0"/>
        <w:kinsoku/>
        <w:wordWrap/>
        <w:overflowPunct/>
        <w:topLinePunct w:val="0"/>
        <w:autoSpaceDE/>
        <w:autoSpaceDN/>
        <w:bidi w:val="0"/>
        <w:adjustRightInd/>
        <w:spacing w:line="360" w:lineRule="auto"/>
        <w:ind w:left="0" w:leftChars="0"/>
        <w:textAlignment w:val="auto"/>
        <w:rPr>
          <w:rFonts w:hint="eastAsia" w:ascii="仿宋" w:hAnsi="仿宋" w:eastAsia="仿宋" w:cs="仿宋"/>
          <w:sz w:val="28"/>
          <w:szCs w:val="28"/>
          <w:highlight w:val="none"/>
        </w:rPr>
      </w:pPr>
    </w:p>
    <w:p>
      <w:pPr>
        <w:pageBreakBefore w:val="0"/>
        <w:kinsoku/>
        <w:wordWrap/>
        <w:overflowPunct/>
        <w:topLinePunct w:val="0"/>
        <w:autoSpaceDE/>
        <w:autoSpaceDN/>
        <w:bidi w:val="0"/>
        <w:adjustRightInd/>
        <w:spacing w:line="360" w:lineRule="auto"/>
        <w:ind w:left="0" w:leftChars="0"/>
        <w:textAlignment w:val="auto"/>
        <w:rPr>
          <w:rFonts w:hint="eastAsia" w:ascii="仿宋" w:hAnsi="仿宋" w:eastAsia="仿宋" w:cs="仿宋"/>
          <w:sz w:val="28"/>
          <w:szCs w:val="28"/>
          <w:highlight w:val="none"/>
        </w:rPr>
      </w:pPr>
    </w:p>
    <w:p>
      <w:pPr>
        <w:pageBreakBefore w:val="0"/>
        <w:kinsoku/>
        <w:wordWrap/>
        <w:overflowPunct/>
        <w:topLinePunct w:val="0"/>
        <w:autoSpaceDE/>
        <w:autoSpaceDN/>
        <w:bidi w:val="0"/>
        <w:adjustRightInd/>
        <w:spacing w:line="360" w:lineRule="auto"/>
        <w:ind w:left="0" w:leftChars="0"/>
        <w:textAlignment w:val="auto"/>
        <w:rPr>
          <w:rFonts w:hint="eastAsia" w:ascii="仿宋" w:hAnsi="仿宋" w:eastAsia="仿宋" w:cs="仿宋"/>
          <w:sz w:val="28"/>
          <w:szCs w:val="28"/>
          <w:highlight w:val="none"/>
        </w:rPr>
      </w:pPr>
    </w:p>
    <w:p>
      <w:pPr>
        <w:pageBreakBefore w:val="0"/>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资格审查文件</w:t>
      </w:r>
    </w:p>
    <w:p>
      <w:pPr>
        <w:pageBreakBefore w:val="0"/>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p>
    <w:p>
      <w:pPr>
        <w:pageBreakBefore w:val="0"/>
        <w:kinsoku/>
        <w:wordWrap/>
        <w:overflowPunct/>
        <w:topLinePunct w:val="0"/>
        <w:autoSpaceDE/>
        <w:autoSpaceDN/>
        <w:bidi w:val="0"/>
        <w:adjustRightInd/>
        <w:snapToGrid w:val="0"/>
        <w:spacing w:line="360" w:lineRule="auto"/>
        <w:ind w:left="0" w:leftChars="0" w:firstLine="1962" w:firstLineChars="698"/>
        <w:textAlignment w:val="auto"/>
        <w:rPr>
          <w:rFonts w:hint="eastAsia" w:ascii="仿宋" w:hAnsi="仿宋" w:eastAsia="仿宋" w:cs="仿宋"/>
          <w:b/>
          <w:sz w:val="28"/>
          <w:szCs w:val="28"/>
          <w:highlight w:val="none"/>
        </w:rPr>
      </w:pPr>
    </w:p>
    <w:p>
      <w:pPr>
        <w:pageBreakBefore w:val="0"/>
        <w:kinsoku/>
        <w:wordWrap/>
        <w:overflowPunct/>
        <w:topLinePunct w:val="0"/>
        <w:autoSpaceDE/>
        <w:autoSpaceDN/>
        <w:bidi w:val="0"/>
        <w:adjustRightInd/>
        <w:snapToGrid w:val="0"/>
        <w:spacing w:line="360" w:lineRule="auto"/>
        <w:ind w:left="0" w:leftChars="0"/>
        <w:textAlignment w:val="auto"/>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p>
    <w:p>
      <w:pPr>
        <w:pageBreakBefore w:val="0"/>
        <w:kinsoku/>
        <w:wordWrap/>
        <w:overflowPunct/>
        <w:topLinePunct w:val="0"/>
        <w:autoSpaceDE/>
        <w:autoSpaceDN/>
        <w:bidi w:val="0"/>
        <w:adjustRightInd/>
        <w:snapToGrid w:val="0"/>
        <w:spacing w:line="360" w:lineRule="auto"/>
        <w:ind w:left="0" w:leftChars="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rPr>
        <w:t xml:space="preserve">                    </w:t>
      </w:r>
    </w:p>
    <w:p>
      <w:pPr>
        <w:pageBreakBefore w:val="0"/>
        <w:kinsoku/>
        <w:wordWrap/>
        <w:overflowPunct/>
        <w:topLinePunct w:val="0"/>
        <w:autoSpaceDE/>
        <w:autoSpaceDN/>
        <w:bidi w:val="0"/>
        <w:adjustRightInd/>
        <w:snapToGrid w:val="0"/>
        <w:spacing w:line="360" w:lineRule="auto"/>
        <w:ind w:left="0" w:left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（盖单位公章）</w:t>
      </w:r>
    </w:p>
    <w:p>
      <w:pPr>
        <w:pageBreakBefore w:val="0"/>
        <w:kinsoku/>
        <w:wordWrap/>
        <w:overflowPunct/>
        <w:topLinePunct w:val="0"/>
        <w:autoSpaceDE/>
        <w:autoSpaceDN/>
        <w:bidi w:val="0"/>
        <w:adjustRightInd/>
        <w:snapToGrid w:val="0"/>
        <w:spacing w:line="360" w:lineRule="auto"/>
        <w:ind w:left="0" w:left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u w:val="single"/>
        </w:rPr>
        <w:t xml:space="preserve">    年   月   日</w:t>
      </w:r>
    </w:p>
    <w:p>
      <w:pPr>
        <w:pageBreakBefore w:val="0"/>
        <w:kinsoku/>
        <w:wordWrap/>
        <w:overflowPunct/>
        <w:topLinePunct w:val="0"/>
        <w:autoSpaceDE/>
        <w:autoSpaceDN/>
        <w:bidi w:val="0"/>
        <w:adjustRightInd/>
        <w:snapToGrid w:val="0"/>
        <w:spacing w:line="360" w:lineRule="auto"/>
        <w:ind w:left="0" w:leftChars="0"/>
        <w:textAlignment w:val="auto"/>
        <w:rPr>
          <w:rFonts w:hint="eastAsia" w:ascii="仿宋" w:hAnsi="仿宋" w:eastAsia="仿宋" w:cs="仿宋"/>
          <w:sz w:val="28"/>
          <w:szCs w:val="28"/>
          <w:highlight w:val="none"/>
        </w:rPr>
        <w:sectPr>
          <w:headerReference r:id="rId6" w:type="default"/>
          <w:footerReference r:id="rId7" w:type="default"/>
          <w:pgSz w:w="11922" w:h="16838"/>
          <w:pgMar w:top="1417" w:right="1304" w:bottom="1417" w:left="1304" w:header="397" w:footer="1037" w:gutter="0"/>
          <w:cols w:space="0" w:num="1"/>
          <w:rtlGutter w:val="0"/>
          <w:docGrid w:linePitch="312" w:charSpace="0"/>
        </w:sectPr>
      </w:pPr>
    </w:p>
    <w:p>
      <w:pPr>
        <w:pStyle w:val="15"/>
        <w:spacing w:line="420" w:lineRule="exact"/>
        <w:ind w:firstLine="0" w:firstLineChars="0"/>
        <w:jc w:val="center"/>
        <w:outlineLvl w:val="1"/>
        <w:rPr>
          <w:rStyle w:val="27"/>
          <w:rFonts w:hint="eastAsia" w:ascii="仿宋" w:hAnsi="仿宋" w:eastAsia="仿宋" w:cs="仿宋"/>
          <w:b w:val="0"/>
          <w:bCs w:val="0"/>
          <w:sz w:val="28"/>
          <w:szCs w:val="28"/>
          <w:highlight w:val="none"/>
        </w:rPr>
      </w:pPr>
      <w:bookmarkStart w:id="170" w:name="_Toc29587"/>
      <w:bookmarkStart w:id="171" w:name="_Toc21539"/>
      <w:bookmarkStart w:id="172" w:name="_Toc29565"/>
      <w:bookmarkStart w:id="173" w:name="_Toc16718"/>
      <w:bookmarkStart w:id="174" w:name="_Toc11767"/>
      <w:r>
        <w:rPr>
          <w:rStyle w:val="27"/>
          <w:rFonts w:hint="eastAsia" w:ascii="仿宋" w:hAnsi="仿宋" w:eastAsia="仿宋" w:cs="仿宋"/>
          <w:b w:val="0"/>
          <w:bCs w:val="0"/>
          <w:sz w:val="28"/>
          <w:szCs w:val="28"/>
          <w:highlight w:val="none"/>
        </w:rPr>
        <w:t>1.供应商基本情况表</w:t>
      </w:r>
      <w:bookmarkEnd w:id="170"/>
      <w:bookmarkEnd w:id="171"/>
      <w:bookmarkEnd w:id="172"/>
    </w:p>
    <w:tbl>
      <w:tblPr>
        <w:tblStyle w:val="16"/>
        <w:tblW w:w="9566"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708"/>
        <w:gridCol w:w="1735"/>
        <w:gridCol w:w="2966"/>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66" w:type="dxa"/>
            <w:gridSpan w:val="4"/>
            <w:tcBorders>
              <w:top w:val="thinThickSmallGap" w:color="auto" w:sz="12" w:space="0"/>
            </w:tcBorders>
            <w:noWrap/>
            <w:vAlign w:val="center"/>
          </w:tcPr>
          <w:p>
            <w:pPr>
              <w:snapToGrid w:val="0"/>
              <w:spacing w:before="93" w:after="93"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供应商信息</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pPr>
              <w:snapToGrid w:val="0"/>
              <w:spacing w:before="93" w:after="93"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企业名称</w:t>
            </w:r>
          </w:p>
        </w:tc>
        <w:tc>
          <w:tcPr>
            <w:tcW w:w="7409" w:type="dxa"/>
            <w:gridSpan w:val="3"/>
            <w:noWrap/>
            <w:vAlign w:val="center"/>
          </w:tcPr>
          <w:p>
            <w:pPr>
              <w:snapToGrid w:val="0"/>
              <w:spacing w:before="93" w:after="93" w:line="400" w:lineRule="exact"/>
              <w:rPr>
                <w:rFonts w:hint="eastAsia" w:ascii="仿宋" w:hAnsi="仿宋" w:eastAsia="仿宋" w:cs="仿宋"/>
                <w:sz w:val="24"/>
                <w:szCs w:val="24"/>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pPr>
              <w:snapToGrid w:val="0"/>
              <w:spacing w:before="93" w:after="93"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性质</w:t>
            </w:r>
          </w:p>
        </w:tc>
        <w:tc>
          <w:tcPr>
            <w:tcW w:w="7409" w:type="dxa"/>
            <w:gridSpan w:val="3"/>
            <w:noWrap/>
            <w:vAlign w:val="center"/>
          </w:tcPr>
          <w:p>
            <w:pPr>
              <w:snapToGrid w:val="0"/>
              <w:spacing w:before="93" w:after="93"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单位□                                个人□</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pPr>
              <w:snapToGrid w:val="0"/>
              <w:spacing w:before="93" w:after="93"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2708" w:type="dxa"/>
            <w:noWrap/>
            <w:vAlign w:val="center"/>
          </w:tcPr>
          <w:p>
            <w:pPr>
              <w:snapToGrid w:val="0"/>
              <w:spacing w:before="93" w:after="93" w:line="400" w:lineRule="exact"/>
              <w:rPr>
                <w:rFonts w:hint="eastAsia" w:ascii="仿宋" w:hAnsi="仿宋" w:eastAsia="仿宋" w:cs="仿宋"/>
                <w:sz w:val="24"/>
                <w:szCs w:val="24"/>
                <w:highlight w:val="none"/>
              </w:rPr>
            </w:pPr>
          </w:p>
        </w:tc>
        <w:tc>
          <w:tcPr>
            <w:tcW w:w="1735" w:type="dxa"/>
            <w:noWrap/>
            <w:vAlign w:val="center"/>
          </w:tcPr>
          <w:p>
            <w:pPr>
              <w:snapToGrid w:val="0"/>
              <w:spacing w:before="93" w:after="93"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注册资金</w:t>
            </w:r>
          </w:p>
        </w:tc>
        <w:tc>
          <w:tcPr>
            <w:tcW w:w="2966" w:type="dxa"/>
            <w:noWrap/>
            <w:vAlign w:val="center"/>
          </w:tcPr>
          <w:p>
            <w:pPr>
              <w:snapToGrid w:val="0"/>
              <w:spacing w:before="93" w:after="93" w:line="400" w:lineRule="exact"/>
              <w:rPr>
                <w:rFonts w:hint="eastAsia" w:ascii="仿宋" w:hAnsi="仿宋" w:eastAsia="仿宋" w:cs="仿宋"/>
                <w:sz w:val="24"/>
                <w:szCs w:val="24"/>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pPr>
              <w:snapToGrid w:val="0"/>
              <w:spacing w:before="93" w:after="93"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tc>
        <w:tc>
          <w:tcPr>
            <w:tcW w:w="2708" w:type="dxa"/>
            <w:noWrap/>
            <w:vAlign w:val="center"/>
          </w:tcPr>
          <w:p>
            <w:pPr>
              <w:snapToGrid w:val="0"/>
              <w:spacing w:before="93" w:after="93" w:line="400" w:lineRule="exact"/>
              <w:rPr>
                <w:rFonts w:hint="eastAsia" w:ascii="仿宋" w:hAnsi="仿宋" w:eastAsia="仿宋" w:cs="仿宋"/>
                <w:sz w:val="24"/>
                <w:szCs w:val="24"/>
                <w:highlight w:val="none"/>
              </w:rPr>
            </w:pPr>
          </w:p>
        </w:tc>
        <w:tc>
          <w:tcPr>
            <w:tcW w:w="1735" w:type="dxa"/>
            <w:noWrap/>
            <w:vAlign w:val="center"/>
          </w:tcPr>
          <w:p>
            <w:pPr>
              <w:snapToGrid w:val="0"/>
              <w:spacing w:before="93" w:after="93"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身份证号码</w:t>
            </w:r>
          </w:p>
        </w:tc>
        <w:tc>
          <w:tcPr>
            <w:tcW w:w="2966" w:type="dxa"/>
            <w:noWrap/>
            <w:vAlign w:val="center"/>
          </w:tcPr>
          <w:p>
            <w:pPr>
              <w:snapToGrid w:val="0"/>
              <w:spacing w:before="93" w:after="93" w:line="400" w:lineRule="exact"/>
              <w:rPr>
                <w:rFonts w:hint="eastAsia" w:ascii="仿宋" w:hAnsi="仿宋" w:eastAsia="仿宋" w:cs="仿宋"/>
                <w:sz w:val="24"/>
                <w:szCs w:val="24"/>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pPr>
              <w:snapToGrid w:val="0"/>
              <w:spacing w:before="93" w:after="93"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通信地址</w:t>
            </w:r>
          </w:p>
        </w:tc>
        <w:tc>
          <w:tcPr>
            <w:tcW w:w="2708" w:type="dxa"/>
            <w:noWrap/>
            <w:vAlign w:val="center"/>
          </w:tcPr>
          <w:p>
            <w:pPr>
              <w:snapToGrid w:val="0"/>
              <w:spacing w:before="93" w:after="93" w:line="400" w:lineRule="exact"/>
              <w:rPr>
                <w:rFonts w:hint="eastAsia" w:ascii="仿宋" w:hAnsi="仿宋" w:eastAsia="仿宋" w:cs="仿宋"/>
                <w:sz w:val="24"/>
                <w:szCs w:val="24"/>
                <w:highlight w:val="none"/>
              </w:rPr>
            </w:pPr>
          </w:p>
        </w:tc>
        <w:tc>
          <w:tcPr>
            <w:tcW w:w="1735" w:type="dxa"/>
            <w:noWrap/>
            <w:vAlign w:val="center"/>
          </w:tcPr>
          <w:p>
            <w:pPr>
              <w:snapToGrid w:val="0"/>
              <w:spacing w:before="93" w:after="93"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2966" w:type="dxa"/>
            <w:noWrap/>
            <w:vAlign w:val="center"/>
          </w:tcPr>
          <w:p>
            <w:pPr>
              <w:snapToGrid w:val="0"/>
              <w:spacing w:before="93" w:after="93" w:line="400" w:lineRule="exact"/>
              <w:rPr>
                <w:rFonts w:hint="eastAsia" w:ascii="仿宋" w:hAnsi="仿宋" w:eastAsia="仿宋" w:cs="仿宋"/>
                <w:sz w:val="24"/>
                <w:szCs w:val="24"/>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pPr>
              <w:snapToGrid w:val="0"/>
              <w:spacing w:before="93" w:after="93"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公司电话</w:t>
            </w:r>
          </w:p>
        </w:tc>
        <w:tc>
          <w:tcPr>
            <w:tcW w:w="2708" w:type="dxa"/>
            <w:noWrap/>
            <w:vAlign w:val="center"/>
          </w:tcPr>
          <w:p>
            <w:pPr>
              <w:snapToGrid w:val="0"/>
              <w:spacing w:before="93" w:after="93" w:line="400" w:lineRule="exact"/>
              <w:rPr>
                <w:rFonts w:hint="eastAsia" w:ascii="仿宋" w:hAnsi="仿宋" w:eastAsia="仿宋" w:cs="仿宋"/>
                <w:sz w:val="24"/>
                <w:szCs w:val="24"/>
                <w:highlight w:val="none"/>
              </w:rPr>
            </w:pPr>
          </w:p>
        </w:tc>
        <w:tc>
          <w:tcPr>
            <w:tcW w:w="1735" w:type="dxa"/>
            <w:noWrap/>
            <w:vAlign w:val="center"/>
          </w:tcPr>
          <w:p>
            <w:pPr>
              <w:snapToGrid w:val="0"/>
              <w:spacing w:before="93" w:after="93"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传真</w:t>
            </w:r>
          </w:p>
        </w:tc>
        <w:tc>
          <w:tcPr>
            <w:tcW w:w="2966" w:type="dxa"/>
            <w:noWrap/>
            <w:vAlign w:val="center"/>
          </w:tcPr>
          <w:p>
            <w:pPr>
              <w:snapToGrid w:val="0"/>
              <w:spacing w:before="93" w:after="93" w:line="400" w:lineRule="exact"/>
              <w:rPr>
                <w:rFonts w:hint="eastAsia" w:ascii="仿宋" w:hAnsi="仿宋" w:eastAsia="仿宋" w:cs="仿宋"/>
                <w:sz w:val="24"/>
                <w:szCs w:val="24"/>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pPr>
              <w:snapToGrid w:val="0"/>
              <w:spacing w:before="93" w:after="93"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公司网址</w:t>
            </w:r>
          </w:p>
        </w:tc>
        <w:tc>
          <w:tcPr>
            <w:tcW w:w="2708" w:type="dxa"/>
            <w:noWrap/>
            <w:vAlign w:val="center"/>
          </w:tcPr>
          <w:p>
            <w:pPr>
              <w:snapToGrid w:val="0"/>
              <w:spacing w:before="93" w:after="93" w:line="400" w:lineRule="exact"/>
              <w:rPr>
                <w:rFonts w:hint="eastAsia" w:ascii="仿宋" w:hAnsi="仿宋" w:eastAsia="仿宋" w:cs="仿宋"/>
                <w:sz w:val="24"/>
                <w:szCs w:val="24"/>
                <w:highlight w:val="none"/>
              </w:rPr>
            </w:pPr>
          </w:p>
        </w:tc>
        <w:tc>
          <w:tcPr>
            <w:tcW w:w="1735" w:type="dxa"/>
            <w:noWrap/>
            <w:vAlign w:val="center"/>
          </w:tcPr>
          <w:p>
            <w:pPr>
              <w:snapToGrid w:val="0"/>
              <w:spacing w:before="93" w:after="93"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966" w:type="dxa"/>
            <w:noWrap/>
            <w:vAlign w:val="center"/>
          </w:tcPr>
          <w:p>
            <w:pPr>
              <w:snapToGrid w:val="0"/>
              <w:spacing w:before="93" w:after="93" w:line="400" w:lineRule="exact"/>
              <w:rPr>
                <w:rFonts w:hint="eastAsia" w:ascii="仿宋" w:hAnsi="仿宋" w:eastAsia="仿宋" w:cs="仿宋"/>
                <w:sz w:val="24"/>
                <w:szCs w:val="24"/>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pPr>
              <w:snapToGrid w:val="0"/>
              <w:spacing w:before="93" w:after="93"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开户银行及账号</w:t>
            </w:r>
          </w:p>
        </w:tc>
        <w:tc>
          <w:tcPr>
            <w:tcW w:w="7409" w:type="dxa"/>
            <w:gridSpan w:val="3"/>
            <w:noWrap/>
            <w:vAlign w:val="center"/>
          </w:tcPr>
          <w:p>
            <w:pPr>
              <w:snapToGrid w:val="0"/>
              <w:spacing w:before="93" w:after="93" w:line="400" w:lineRule="exact"/>
              <w:rPr>
                <w:rFonts w:hint="eastAsia" w:ascii="仿宋" w:hAnsi="仿宋" w:eastAsia="仿宋" w:cs="仿宋"/>
                <w:sz w:val="24"/>
                <w:szCs w:val="24"/>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pPr>
              <w:snapToGrid w:val="0"/>
              <w:spacing w:before="93" w:after="93"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企业资质</w:t>
            </w:r>
          </w:p>
        </w:tc>
        <w:tc>
          <w:tcPr>
            <w:tcW w:w="7409" w:type="dxa"/>
            <w:gridSpan w:val="3"/>
            <w:noWrap/>
            <w:vAlign w:val="center"/>
          </w:tcPr>
          <w:p>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napToGrid w:val="0"/>
              <w:spacing w:before="156" w:after="156" w:line="400" w:lineRule="exact"/>
              <w:jc w:val="left"/>
              <w:rPr>
                <w:rFonts w:hint="eastAsia" w:ascii="仿宋" w:hAnsi="仿宋" w:eastAsia="仿宋" w:cs="仿宋"/>
                <w:b/>
                <w:sz w:val="24"/>
                <w:szCs w:val="24"/>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157" w:type="dxa"/>
            <w:noWrap/>
            <w:vAlign w:val="center"/>
          </w:tcPr>
          <w:p>
            <w:pPr>
              <w:snapToGrid w:val="0"/>
              <w:spacing w:before="93" w:after="93"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权威认证</w:t>
            </w:r>
          </w:p>
        </w:tc>
        <w:tc>
          <w:tcPr>
            <w:tcW w:w="7409" w:type="dxa"/>
            <w:gridSpan w:val="3"/>
            <w:noWrap/>
            <w:vAlign w:val="center"/>
          </w:tcPr>
          <w:p>
            <w:pPr>
              <w:snapToGrid w:val="0"/>
              <w:spacing w:before="156" w:after="156" w:line="400" w:lineRule="exact"/>
              <w:rPr>
                <w:rFonts w:hint="eastAsia" w:ascii="仿宋" w:hAnsi="仿宋" w:eastAsia="仿宋" w:cs="仿宋"/>
                <w:sz w:val="24"/>
                <w:szCs w:val="24"/>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pPr>
              <w:snapToGrid w:val="0"/>
              <w:spacing w:before="93" w:after="93"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企业获奖（如有）</w:t>
            </w:r>
          </w:p>
        </w:tc>
        <w:tc>
          <w:tcPr>
            <w:tcW w:w="7409" w:type="dxa"/>
            <w:gridSpan w:val="3"/>
            <w:noWrap/>
            <w:vAlign w:val="center"/>
          </w:tcPr>
          <w:p>
            <w:pPr>
              <w:snapToGrid w:val="0"/>
              <w:spacing w:before="93" w:after="93" w:line="400" w:lineRule="exact"/>
              <w:rPr>
                <w:rFonts w:hint="eastAsia" w:ascii="仿宋" w:hAnsi="仿宋" w:eastAsia="仿宋" w:cs="仿宋"/>
                <w:sz w:val="24"/>
                <w:szCs w:val="24"/>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157" w:type="dxa"/>
            <w:noWrap/>
            <w:vAlign w:val="center"/>
          </w:tcPr>
          <w:p>
            <w:pPr>
              <w:snapToGrid w:val="0"/>
              <w:spacing w:before="93" w:after="93"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c>
          <w:tcPr>
            <w:tcW w:w="7409" w:type="dxa"/>
            <w:gridSpan w:val="3"/>
            <w:noWrap/>
            <w:vAlign w:val="center"/>
          </w:tcPr>
          <w:p>
            <w:pPr>
              <w:snapToGrid w:val="0"/>
              <w:spacing w:before="93" w:after="93" w:line="400" w:lineRule="exact"/>
              <w:rPr>
                <w:rFonts w:hint="eastAsia" w:ascii="仿宋" w:hAnsi="仿宋" w:eastAsia="仿宋" w:cs="仿宋"/>
                <w:sz w:val="24"/>
                <w:szCs w:val="24"/>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66" w:type="dxa"/>
            <w:gridSpan w:val="4"/>
            <w:noWrap/>
            <w:vAlign w:val="center"/>
          </w:tcPr>
          <w:p>
            <w:pPr>
              <w:snapToGrid w:val="0"/>
              <w:spacing w:before="93" w:after="93"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供应商联系人信息</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pPr>
              <w:snapToGrid w:val="0"/>
              <w:spacing w:before="93" w:after="93"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708" w:type="dxa"/>
            <w:noWrap/>
            <w:vAlign w:val="center"/>
          </w:tcPr>
          <w:p>
            <w:pPr>
              <w:snapToGrid w:val="0"/>
              <w:spacing w:before="93" w:after="93" w:line="400" w:lineRule="exact"/>
              <w:rPr>
                <w:rFonts w:hint="eastAsia" w:ascii="仿宋" w:hAnsi="仿宋" w:eastAsia="仿宋" w:cs="仿宋"/>
                <w:sz w:val="24"/>
                <w:szCs w:val="24"/>
                <w:highlight w:val="none"/>
              </w:rPr>
            </w:pPr>
          </w:p>
        </w:tc>
        <w:tc>
          <w:tcPr>
            <w:tcW w:w="1735" w:type="dxa"/>
            <w:noWrap/>
            <w:vAlign w:val="center"/>
          </w:tcPr>
          <w:p>
            <w:pPr>
              <w:snapToGrid w:val="0"/>
              <w:spacing w:before="93" w:after="93"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手机</w:t>
            </w:r>
          </w:p>
        </w:tc>
        <w:tc>
          <w:tcPr>
            <w:tcW w:w="2966" w:type="dxa"/>
            <w:noWrap/>
            <w:vAlign w:val="center"/>
          </w:tcPr>
          <w:p>
            <w:pPr>
              <w:snapToGrid w:val="0"/>
              <w:spacing w:before="93" w:after="93" w:line="400" w:lineRule="exact"/>
              <w:rPr>
                <w:rFonts w:hint="eastAsia" w:ascii="仿宋" w:hAnsi="仿宋" w:eastAsia="仿宋" w:cs="仿宋"/>
                <w:sz w:val="24"/>
                <w:szCs w:val="24"/>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pPr>
              <w:snapToGrid w:val="0"/>
              <w:spacing w:before="93" w:after="93"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固定电话</w:t>
            </w:r>
          </w:p>
        </w:tc>
        <w:tc>
          <w:tcPr>
            <w:tcW w:w="2708" w:type="dxa"/>
            <w:noWrap/>
            <w:vAlign w:val="center"/>
          </w:tcPr>
          <w:p>
            <w:pPr>
              <w:snapToGrid w:val="0"/>
              <w:spacing w:before="93" w:after="93" w:line="400" w:lineRule="exact"/>
              <w:rPr>
                <w:rFonts w:hint="eastAsia" w:ascii="仿宋" w:hAnsi="仿宋" w:eastAsia="仿宋" w:cs="仿宋"/>
                <w:sz w:val="24"/>
                <w:szCs w:val="24"/>
                <w:highlight w:val="none"/>
              </w:rPr>
            </w:pPr>
          </w:p>
        </w:tc>
        <w:tc>
          <w:tcPr>
            <w:tcW w:w="1735" w:type="dxa"/>
            <w:noWrap/>
            <w:vAlign w:val="center"/>
          </w:tcPr>
          <w:p>
            <w:pPr>
              <w:snapToGrid w:val="0"/>
              <w:spacing w:before="93" w:after="93"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966" w:type="dxa"/>
            <w:noWrap/>
            <w:vAlign w:val="center"/>
          </w:tcPr>
          <w:p>
            <w:pPr>
              <w:snapToGrid w:val="0"/>
              <w:spacing w:before="93" w:after="93" w:line="400" w:lineRule="exact"/>
              <w:rPr>
                <w:rFonts w:hint="eastAsia" w:ascii="仿宋" w:hAnsi="仿宋" w:eastAsia="仿宋" w:cs="仿宋"/>
                <w:sz w:val="24"/>
                <w:szCs w:val="24"/>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66" w:type="dxa"/>
            <w:gridSpan w:val="4"/>
            <w:tcBorders>
              <w:bottom w:val="thinThickSmallGap" w:color="auto" w:sz="12" w:space="0"/>
            </w:tcBorders>
            <w:noWrap/>
            <w:vAlign w:val="center"/>
          </w:tcPr>
          <w:p>
            <w:pPr>
              <w:snapToGrid w:val="0"/>
              <w:spacing w:before="93" w:after="93"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企业简介：（可另附页或企业对外宣传手册）</w:t>
            </w:r>
          </w:p>
        </w:tc>
      </w:tr>
    </w:tbl>
    <w:p>
      <w:pPr>
        <w:pStyle w:val="15"/>
        <w:spacing w:line="420" w:lineRule="exact"/>
        <w:ind w:firstLine="0" w:firstLineChars="0"/>
        <w:rPr>
          <w:rFonts w:hint="eastAsia" w:ascii="仿宋" w:hAnsi="仿宋" w:eastAsia="仿宋" w:cs="仿宋"/>
          <w:b/>
          <w:sz w:val="24"/>
          <w:highlight w:val="none"/>
        </w:rPr>
      </w:pPr>
    </w:p>
    <w:p>
      <w:pPr>
        <w:adjustRightInd w:val="0"/>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供应商名称（公章）：</w:t>
      </w:r>
    </w:p>
    <w:p>
      <w:pPr>
        <w:adjustRightInd w:val="0"/>
        <w:snapToGrid w:val="0"/>
        <w:spacing w:line="360" w:lineRule="auto"/>
        <w:ind w:right="93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法定代表人或授权代表人（签字或盖章）</w:t>
      </w:r>
    </w:p>
    <w:p>
      <w:pPr>
        <w:adjustRightInd w:val="0"/>
        <w:snapToGrid w:val="0"/>
        <w:spacing w:line="360" w:lineRule="auto"/>
        <w:ind w:right="93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日期：</w:t>
      </w:r>
      <w:r>
        <w:rPr>
          <w:rFonts w:hint="eastAsia" w:ascii="仿宋" w:hAnsi="仿宋" w:eastAsia="仿宋" w:cs="仿宋"/>
          <w:sz w:val="24"/>
          <w:szCs w:val="24"/>
          <w:highlight w:val="none"/>
          <w:u w:val="single"/>
        </w:rPr>
        <w:t xml:space="preserve">    年   月   日</w:t>
      </w:r>
    </w:p>
    <w:p>
      <w:pPr>
        <w:spacing w:line="360" w:lineRule="auto"/>
        <w:jc w:val="center"/>
        <w:rPr>
          <w:rFonts w:hint="eastAsia" w:ascii="仿宋" w:hAnsi="仿宋" w:eastAsia="仿宋" w:cs="仿宋"/>
          <w:sz w:val="28"/>
          <w:szCs w:val="28"/>
          <w:highlight w:val="none"/>
        </w:rPr>
      </w:pPr>
      <w:r>
        <w:rPr>
          <w:rStyle w:val="27"/>
          <w:rFonts w:hint="eastAsia" w:ascii="仿宋" w:hAnsi="仿宋" w:eastAsia="仿宋" w:cs="仿宋"/>
          <w:b w:val="0"/>
          <w:bCs w:val="0"/>
          <w:sz w:val="28"/>
          <w:szCs w:val="28"/>
          <w:highlight w:val="none"/>
        </w:rPr>
        <w:br w:type="page"/>
      </w:r>
      <w:bookmarkEnd w:id="173"/>
      <w:bookmarkEnd w:id="174"/>
      <w:bookmarkStart w:id="175" w:name="_Toc14151"/>
      <w:bookmarkStart w:id="176" w:name="_Toc9381"/>
      <w:r>
        <w:rPr>
          <w:rFonts w:hint="eastAsia" w:ascii="仿宋" w:hAnsi="仿宋" w:eastAsia="仿宋" w:cs="仿宋"/>
          <w:bCs/>
          <w:sz w:val="28"/>
          <w:szCs w:val="28"/>
          <w:highlight w:val="none"/>
        </w:rPr>
        <w:t>2.</w:t>
      </w:r>
      <w:r>
        <w:rPr>
          <w:rFonts w:hint="eastAsia" w:ascii="仿宋" w:hAnsi="仿宋" w:eastAsia="仿宋" w:cs="仿宋"/>
          <w:sz w:val="28"/>
          <w:szCs w:val="28"/>
          <w:highlight w:val="none"/>
        </w:rPr>
        <w:t>法定代表人身份证明</w:t>
      </w:r>
    </w:p>
    <w:p>
      <w:pPr>
        <w:spacing w:line="360" w:lineRule="auto"/>
        <w:ind w:firstLine="560" w:firstLineChars="200"/>
        <w:rPr>
          <w:rFonts w:hint="eastAsia" w:ascii="仿宋" w:hAnsi="仿宋" w:eastAsia="仿宋" w:cs="仿宋"/>
          <w:sz w:val="28"/>
          <w:szCs w:val="28"/>
          <w:highlight w:val="none"/>
        </w:rPr>
      </w:pPr>
    </w:p>
    <w:p>
      <w:pPr>
        <w:pStyle w:val="9"/>
        <w:spacing w:line="360" w:lineRule="auto"/>
        <w:ind w:firstLine="700" w:firstLineChars="250"/>
        <w:rPr>
          <w:rFonts w:hint="eastAsia" w:ascii="仿宋" w:hAnsi="仿宋" w:eastAsia="仿宋" w:cs="仿宋"/>
          <w:sz w:val="28"/>
          <w:szCs w:val="28"/>
          <w:highlight w:val="none"/>
        </w:rPr>
      </w:pPr>
    </w:p>
    <w:p>
      <w:pPr>
        <w:pStyle w:val="9"/>
        <w:spacing w:line="360" w:lineRule="auto"/>
        <w:ind w:firstLine="700" w:firstLineChars="250"/>
        <w:rPr>
          <w:rFonts w:hint="eastAsia" w:ascii="仿宋" w:hAnsi="仿宋" w:eastAsia="仿宋" w:cs="仿宋"/>
          <w:sz w:val="28"/>
          <w:szCs w:val="28"/>
          <w:highlight w:val="non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pStyle w:val="9"/>
        <w:spacing w:line="360" w:lineRule="auto"/>
        <w:ind w:firstLine="700" w:firstLineChars="250"/>
        <w:rPr>
          <w:rFonts w:hint="eastAsia" w:ascii="仿宋" w:hAnsi="仿宋" w:eastAsia="仿宋" w:cs="仿宋"/>
          <w:sz w:val="28"/>
          <w:szCs w:val="28"/>
          <w:highlight w:val="none"/>
        </w:rPr>
      </w:pPr>
      <w:r>
        <w:rPr>
          <w:rFonts w:hint="eastAsia" w:ascii="仿宋" w:hAnsi="仿宋" w:eastAsia="仿宋" w:cs="仿宋"/>
          <w:sz w:val="28"/>
          <w:szCs w:val="28"/>
          <w:highlight w:val="none"/>
        </w:rPr>
        <w:t>单位性质：</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pStyle w:val="9"/>
        <w:spacing w:line="360" w:lineRule="auto"/>
        <w:ind w:firstLine="700" w:firstLineChars="250"/>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 xml:space="preserve">                                      </w:t>
      </w:r>
    </w:p>
    <w:p>
      <w:pPr>
        <w:pStyle w:val="9"/>
        <w:spacing w:line="360" w:lineRule="auto"/>
        <w:ind w:firstLine="700" w:firstLineChars="250"/>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pStyle w:val="9"/>
        <w:spacing w:line="360" w:lineRule="auto"/>
        <w:ind w:firstLine="700" w:firstLineChars="250"/>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pPr>
        <w:pStyle w:val="9"/>
        <w:spacing w:line="360" w:lineRule="auto"/>
        <w:ind w:firstLine="700" w:firstLineChars="25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年龄：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p>
    <w:p>
      <w:pPr>
        <w:pStyle w:val="9"/>
        <w:spacing w:line="360" w:lineRule="auto"/>
        <w:ind w:firstLine="700" w:firstLineChars="25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系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（投标人名称）的法定代表人。</w:t>
      </w:r>
    </w:p>
    <w:p>
      <w:pPr>
        <w:pStyle w:val="9"/>
        <w:spacing w:line="360" w:lineRule="auto"/>
        <w:ind w:firstLine="700" w:firstLineChars="250"/>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pPr>
        <w:spacing w:line="360" w:lineRule="auto"/>
        <w:rPr>
          <w:rFonts w:hint="eastAsia" w:ascii="仿宋" w:hAnsi="仿宋" w:eastAsia="仿宋" w:cs="仿宋"/>
          <w:sz w:val="28"/>
          <w:szCs w:val="28"/>
          <w:highlight w:val="none"/>
        </w:rPr>
      </w:pPr>
    </w:p>
    <w:p>
      <w:pPr>
        <w:spacing w:line="360" w:lineRule="auto"/>
        <w:ind w:firstLine="560" w:firstLineChars="200"/>
        <w:rPr>
          <w:rFonts w:hint="eastAsia" w:ascii="仿宋" w:hAnsi="仿宋" w:eastAsia="仿宋" w:cs="仿宋"/>
          <w:sz w:val="28"/>
          <w:szCs w:val="28"/>
          <w:highlight w:val="none"/>
        </w:rPr>
      </w:pPr>
    </w:p>
    <w:p>
      <w:pPr>
        <w:spacing w:line="360" w:lineRule="auto"/>
        <w:ind w:firstLine="2955"/>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投标人名称：  </w:t>
      </w:r>
      <w:r>
        <w:rPr>
          <w:rFonts w:hint="eastAsia" w:ascii="仿宋" w:hAnsi="仿宋" w:eastAsia="仿宋" w:cs="仿宋"/>
          <w:sz w:val="28"/>
          <w:szCs w:val="28"/>
          <w:highlight w:val="none"/>
          <w:u w:val="single"/>
        </w:rPr>
        <w:t xml:space="preserve">                  （公章）</w:t>
      </w:r>
    </w:p>
    <w:p>
      <w:pPr>
        <w:spacing w:line="360" w:lineRule="auto"/>
        <w:ind w:firstLine="6020" w:firstLineChars="2150"/>
        <w:rPr>
          <w:rFonts w:hint="eastAsia" w:ascii="仿宋" w:hAnsi="仿宋" w:eastAsia="仿宋" w:cs="仿宋"/>
          <w:sz w:val="28"/>
          <w:szCs w:val="28"/>
          <w:highlight w:val="none"/>
        </w:rPr>
      </w:pPr>
    </w:p>
    <w:p>
      <w:pPr>
        <w:spacing w:line="360" w:lineRule="auto"/>
        <w:ind w:firstLine="6020" w:firstLineChars="215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年   月   日</w:t>
      </w:r>
    </w:p>
    <w:p>
      <w:pPr>
        <w:spacing w:line="360" w:lineRule="auto"/>
        <w:jc w:val="center"/>
        <w:rPr>
          <w:rFonts w:hint="eastAsia" w:ascii="仿宋" w:hAnsi="仿宋" w:eastAsia="仿宋" w:cs="仿宋"/>
          <w:sz w:val="28"/>
          <w:szCs w:val="28"/>
          <w:highlight w:val="none"/>
        </w:rPr>
      </w:pPr>
    </w:p>
    <w:p>
      <w:pPr>
        <w:pStyle w:val="9"/>
        <w:spacing w:line="360" w:lineRule="auto"/>
        <w:ind w:firstLine="700" w:firstLineChars="250"/>
        <w:rPr>
          <w:rFonts w:hint="eastAsia" w:ascii="仿宋" w:hAnsi="仿宋" w:eastAsia="仿宋" w:cs="仿宋"/>
          <w:sz w:val="28"/>
          <w:szCs w:val="28"/>
          <w:highlight w:val="none"/>
        </w:rPr>
      </w:pPr>
      <w:r>
        <w:rPr>
          <w:rFonts w:hint="eastAsia" w:ascii="仿宋" w:hAnsi="仿宋" w:eastAsia="仿宋" w:cs="仿宋"/>
          <w:sz w:val="28"/>
          <w:szCs w:val="28"/>
          <w:highlight w:val="none"/>
        </w:rPr>
        <w:t>附：法定代表人身份证复印件</w:t>
      </w:r>
    </w:p>
    <w:p>
      <w:pPr>
        <w:spacing w:line="600" w:lineRule="exact"/>
        <w:jc w:val="center"/>
        <w:rPr>
          <w:rFonts w:hint="eastAsia" w:ascii="仿宋" w:hAnsi="仿宋" w:eastAsia="仿宋" w:cs="仿宋"/>
          <w:sz w:val="28"/>
          <w:szCs w:val="28"/>
          <w:highlight w:val="none"/>
        </w:rPr>
      </w:pPr>
      <w:r>
        <w:rPr>
          <w:rFonts w:hint="eastAsia" w:ascii="仿宋" w:hAnsi="仿宋" w:eastAsia="仿宋" w:cs="仿宋"/>
          <w:bCs/>
          <w:sz w:val="28"/>
          <w:szCs w:val="28"/>
          <w:highlight w:val="none"/>
        </w:rPr>
        <w:br w:type="page"/>
      </w:r>
      <w:r>
        <w:rPr>
          <w:rFonts w:hint="eastAsia" w:ascii="仿宋" w:hAnsi="仿宋" w:eastAsia="仿宋" w:cs="仿宋"/>
          <w:bCs/>
          <w:sz w:val="28"/>
          <w:szCs w:val="28"/>
          <w:highlight w:val="none"/>
        </w:rPr>
        <w:t>3.法定代表人（负责人）授权书</w:t>
      </w:r>
      <w:bookmarkEnd w:id="175"/>
      <w:bookmarkEnd w:id="176"/>
      <w:r>
        <w:rPr>
          <w:rFonts w:hint="eastAsia" w:ascii="仿宋" w:hAnsi="仿宋" w:eastAsia="仿宋" w:cs="仿宋"/>
          <w:bCs/>
          <w:sz w:val="28"/>
          <w:szCs w:val="28"/>
          <w:highlight w:val="none"/>
        </w:rPr>
        <w:t xml:space="preserve"> </w:t>
      </w:r>
    </w:p>
    <w:p>
      <w:pPr>
        <w:spacing w:line="360" w:lineRule="auto"/>
        <w:rPr>
          <w:rFonts w:hint="eastAsia" w:ascii="仿宋" w:hAnsi="仿宋" w:eastAsia="仿宋" w:cs="仿宋"/>
          <w:sz w:val="28"/>
          <w:szCs w:val="28"/>
          <w:highlight w:val="none"/>
        </w:rPr>
      </w:pPr>
    </w:p>
    <w:p>
      <w:pPr>
        <w:spacing w:beforeLines="0" w:afterLines="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（投标人全称）法定代表人（负责人）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授权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（全权代表姓名）为全权代表，参加贵方组织的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），并全权处理采购活动中的一切事宜。</w:t>
      </w:r>
    </w:p>
    <w:p>
      <w:pPr>
        <w:spacing w:before="0" w:beforeLines="0" w:after="0" w:afterLines="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bCs/>
          <w:sz w:val="24"/>
          <w:szCs w:val="24"/>
          <w:highlight w:val="none"/>
        </w:rPr>
        <w:t>（负责人）</w:t>
      </w:r>
      <w:r>
        <w:rPr>
          <w:rFonts w:hint="eastAsia" w:ascii="仿宋" w:hAnsi="仿宋" w:eastAsia="仿宋" w:cs="仿宋"/>
          <w:sz w:val="24"/>
          <w:szCs w:val="24"/>
          <w:highlight w:val="none"/>
        </w:rPr>
        <w:t>签字或盖章：</w:t>
      </w:r>
    </w:p>
    <w:p>
      <w:pPr>
        <w:spacing w:before="0" w:beforeLines="0" w:after="0" w:afterLines="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投标人名称（公章）：</w:t>
      </w:r>
    </w:p>
    <w:p>
      <w:pPr>
        <w:spacing w:before="0" w:beforeLines="0" w:after="0" w:afterLines="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年   月   日</w:t>
      </w:r>
    </w:p>
    <w:p>
      <w:pPr>
        <w:spacing w:beforeLines="0" w:afterLines="0" w:line="360" w:lineRule="auto"/>
        <w:rPr>
          <w:rFonts w:hint="eastAsia" w:ascii="仿宋" w:hAnsi="仿宋" w:eastAsia="仿宋" w:cs="仿宋"/>
          <w:sz w:val="24"/>
          <w:szCs w:val="24"/>
          <w:highlight w:val="none"/>
        </w:rPr>
      </w:pPr>
    </w:p>
    <w:p>
      <w:pPr>
        <w:spacing w:beforeLines="0" w:afterLines="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附：</w:t>
      </w:r>
    </w:p>
    <w:p>
      <w:pPr>
        <w:spacing w:beforeLines="0" w:afterLines="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授权代表姓名：           性别：</w:t>
      </w:r>
    </w:p>
    <w:p>
      <w:pPr>
        <w:spacing w:beforeLines="0" w:afterLines="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职务：                     职称：</w:t>
      </w:r>
    </w:p>
    <w:p>
      <w:pPr>
        <w:spacing w:beforeLines="0" w:afterLines="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详细通讯地址：</w:t>
      </w:r>
    </w:p>
    <w:p>
      <w:pPr>
        <w:spacing w:beforeLines="0" w:afterLines="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电话：                     传真：</w:t>
      </w:r>
    </w:p>
    <w:p>
      <w:pPr>
        <w:spacing w:beforeLines="0" w:afterLines="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移动电话：</w:t>
      </w:r>
    </w:p>
    <w:p>
      <w:pPr>
        <w:spacing w:beforeLines="0" w:afterLines="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p>
      <w:pPr>
        <w:spacing w:beforeLines="0" w:afterLines="0" w:line="360" w:lineRule="auto"/>
        <w:rPr>
          <w:rFonts w:hint="eastAsia" w:ascii="仿宋" w:hAnsi="仿宋" w:eastAsia="仿宋" w:cs="仿宋"/>
          <w:b/>
          <w:sz w:val="24"/>
          <w:szCs w:val="24"/>
          <w:highlight w:val="none"/>
        </w:rPr>
      </w:pPr>
    </w:p>
    <w:p>
      <w:pPr>
        <w:spacing w:beforeLines="0" w:afterLines="0"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法定代表人身份证复印件：</w:t>
      </w:r>
    </w:p>
    <w:p>
      <w:pPr>
        <w:spacing w:beforeLines="0" w:afterLines="0" w:line="360" w:lineRule="auto"/>
        <w:rPr>
          <w:rFonts w:hint="eastAsia" w:ascii="仿宋" w:hAnsi="仿宋" w:eastAsia="仿宋" w:cs="仿宋"/>
          <w:b/>
          <w:sz w:val="24"/>
          <w:szCs w:val="24"/>
          <w:highlight w:val="none"/>
        </w:rPr>
      </w:pPr>
    </w:p>
    <w:p>
      <w:pPr>
        <w:spacing w:beforeLines="0" w:afterLines="0"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授权人身份证复印件：</w:t>
      </w:r>
    </w:p>
    <w:p>
      <w:pPr>
        <w:pStyle w:val="2"/>
        <w:rPr>
          <w:rFonts w:hint="eastAsia" w:ascii="仿宋" w:hAnsi="仿宋" w:eastAsia="仿宋" w:cs="仿宋"/>
          <w:b w:val="0"/>
          <w:bCs w:val="0"/>
          <w:sz w:val="28"/>
          <w:szCs w:val="28"/>
          <w:highlight w:val="none"/>
        </w:rPr>
      </w:pPr>
    </w:p>
    <w:p>
      <w:pPr>
        <w:pStyle w:val="2"/>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adjustRightInd w:val="0"/>
        <w:jc w:val="center"/>
        <w:textAlignment w:val="baseline"/>
        <w:outlineLvl w:val="1"/>
        <w:rPr>
          <w:rFonts w:hint="eastAsia" w:ascii="仿宋" w:hAnsi="仿宋" w:eastAsia="仿宋" w:cs="仿宋"/>
          <w:bCs/>
          <w:sz w:val="28"/>
          <w:szCs w:val="28"/>
          <w:highlight w:val="none"/>
        </w:rPr>
      </w:pPr>
      <w:r>
        <w:rPr>
          <w:rFonts w:hint="eastAsia" w:ascii="仿宋" w:hAnsi="仿宋" w:eastAsia="仿宋" w:cs="仿宋"/>
          <w:sz w:val="28"/>
          <w:szCs w:val="28"/>
          <w:highlight w:val="none"/>
        </w:rPr>
        <w:br w:type="page"/>
      </w:r>
      <w:bookmarkStart w:id="177" w:name="_Toc8717"/>
      <w:bookmarkStart w:id="178" w:name="_Toc32609"/>
      <w:r>
        <w:rPr>
          <w:rFonts w:hint="eastAsia" w:ascii="仿宋" w:hAnsi="仿宋" w:eastAsia="仿宋" w:cs="仿宋"/>
          <w:bCs/>
          <w:sz w:val="28"/>
          <w:szCs w:val="28"/>
          <w:highlight w:val="none"/>
        </w:rPr>
        <w:t>4.</w:t>
      </w:r>
      <w:bookmarkEnd w:id="177"/>
      <w:bookmarkEnd w:id="178"/>
      <w:r>
        <w:rPr>
          <w:rFonts w:hint="eastAsia" w:ascii="仿宋" w:hAnsi="仿宋" w:eastAsia="仿宋" w:cs="仿宋"/>
          <w:bCs/>
          <w:sz w:val="28"/>
          <w:szCs w:val="28"/>
          <w:highlight w:val="none"/>
        </w:rPr>
        <w:t>有效期内的营业执照（或事业法人登记证书或其它工商等登记证明材料）扫描件</w:t>
      </w:r>
    </w:p>
    <w:p>
      <w:pPr>
        <w:adjustRightInd w:val="0"/>
        <w:jc w:val="center"/>
        <w:textAlignment w:val="baseline"/>
        <w:outlineLvl w:val="1"/>
        <w:rPr>
          <w:rFonts w:hint="eastAsia" w:ascii="仿宋" w:hAnsi="仿宋" w:eastAsia="仿宋" w:cs="仿宋"/>
          <w:b/>
          <w:sz w:val="32"/>
          <w:szCs w:val="32"/>
          <w:highlight w:val="none"/>
        </w:rPr>
      </w:pPr>
      <w:r>
        <w:rPr>
          <w:rFonts w:hint="eastAsia" w:ascii="仿宋" w:hAnsi="仿宋" w:eastAsia="仿宋" w:cs="仿宋"/>
          <w:bCs/>
          <w:sz w:val="28"/>
          <w:szCs w:val="28"/>
          <w:highlight w:val="none"/>
        </w:rPr>
        <w:br w:type="page"/>
      </w:r>
      <w:r>
        <w:rPr>
          <w:rFonts w:hint="eastAsia" w:ascii="仿宋" w:hAnsi="仿宋" w:eastAsia="仿宋" w:cs="仿宋"/>
          <w:bCs/>
          <w:sz w:val="28"/>
          <w:szCs w:val="28"/>
          <w:highlight w:val="none"/>
        </w:rPr>
        <w:t>5.符合参加国企采购活动应当具备的一般条件的承诺函</w:t>
      </w:r>
    </w:p>
    <w:p>
      <w:pPr>
        <w:spacing w:line="360" w:lineRule="auto"/>
        <w:rPr>
          <w:rFonts w:hint="eastAsia" w:ascii="仿宋" w:hAnsi="仿宋" w:eastAsia="仿宋" w:cs="仿宋"/>
          <w:highlight w:val="none"/>
        </w:rPr>
      </w:pP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bCs/>
          <w:kern w:val="0"/>
          <w:sz w:val="24"/>
          <w:szCs w:val="24"/>
          <w:highlight w:val="none"/>
          <w:u w:val="single"/>
        </w:rPr>
        <w:t xml:space="preserve">         </w:t>
      </w:r>
      <w:r>
        <w:rPr>
          <w:rFonts w:hint="eastAsia" w:ascii="仿宋" w:hAnsi="仿宋" w:eastAsia="仿宋" w:cs="仿宋"/>
          <w:bCs/>
          <w:kern w:val="0"/>
          <w:sz w:val="24"/>
          <w:szCs w:val="24"/>
          <w:highlight w:val="none"/>
          <w:lang w:val="zh-CN"/>
        </w:rPr>
        <w:t>（采购人）</w:t>
      </w:r>
    </w:p>
    <w:p>
      <w:pPr>
        <w:pStyle w:val="14"/>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我方参加</w:t>
      </w:r>
      <w:r>
        <w:rPr>
          <w:rFonts w:hint="eastAsia" w:ascii="仿宋" w:hAnsi="仿宋" w:eastAsia="仿宋" w:cs="仿宋"/>
          <w:color w:val="000000"/>
          <w:sz w:val="24"/>
          <w:szCs w:val="24"/>
          <w:highlight w:val="none"/>
          <w:u w:val="single"/>
        </w:rPr>
        <w:t xml:space="preserve">       项目名称（项目编号：    </w:t>
      </w:r>
      <w:r>
        <w:rPr>
          <w:rFonts w:hint="eastAsia" w:ascii="仿宋" w:hAnsi="仿宋" w:eastAsia="仿宋" w:cs="仿宋"/>
          <w:color w:val="000000"/>
          <w:sz w:val="24"/>
          <w:szCs w:val="24"/>
          <w:highlight w:val="none"/>
          <w:u w:val="single"/>
          <w:lang w:eastAsia="zh-CN"/>
        </w:rPr>
        <w:t>）</w:t>
      </w:r>
      <w:r>
        <w:rPr>
          <w:rFonts w:hint="eastAsia" w:ascii="仿宋" w:hAnsi="仿宋" w:eastAsia="仿宋" w:cs="仿宋"/>
          <w:color w:val="000000"/>
          <w:sz w:val="24"/>
          <w:szCs w:val="24"/>
          <w:highlight w:val="none"/>
        </w:rPr>
        <w:t>采购活动，郑重承诺：</w:t>
      </w:r>
    </w:p>
    <w:p>
      <w:pPr>
        <w:spacing w:line="360" w:lineRule="auto"/>
        <w:ind w:firstLine="480" w:firstLineChars="200"/>
        <w:outlineLvl w:val="1"/>
        <w:rPr>
          <w:rFonts w:hint="eastAsia" w:ascii="仿宋" w:hAnsi="仿宋" w:eastAsia="仿宋" w:cs="仿宋"/>
          <w:sz w:val="24"/>
          <w:szCs w:val="24"/>
          <w:highlight w:val="none"/>
        </w:rPr>
      </w:pPr>
      <w:bookmarkStart w:id="179" w:name="_Toc11593"/>
      <w:bookmarkStart w:id="180" w:name="_Toc21843"/>
      <w:bookmarkStart w:id="181" w:name="_Toc11246"/>
      <w:bookmarkStart w:id="182" w:name="_Toc720"/>
      <w:bookmarkStart w:id="183" w:name="_Toc26842"/>
      <w:bookmarkStart w:id="184" w:name="_Toc27259"/>
      <w:bookmarkStart w:id="185" w:name="_Toc41"/>
      <w:bookmarkStart w:id="186" w:name="_Toc10062"/>
      <w:bookmarkStart w:id="187" w:name="_Toc6784"/>
      <w:bookmarkStart w:id="188" w:name="_Toc7663"/>
      <w:r>
        <w:rPr>
          <w:rFonts w:hint="eastAsia" w:ascii="仿宋" w:hAnsi="仿宋" w:eastAsia="仿宋" w:cs="仿宋"/>
          <w:color w:val="000000"/>
          <w:sz w:val="24"/>
          <w:szCs w:val="24"/>
          <w:highlight w:val="none"/>
        </w:rPr>
        <w:t>一、</w:t>
      </w:r>
      <w:bookmarkEnd w:id="179"/>
      <w:bookmarkEnd w:id="180"/>
      <w:bookmarkEnd w:id="181"/>
      <w:bookmarkEnd w:id="182"/>
      <w:bookmarkEnd w:id="183"/>
      <w:bookmarkEnd w:id="184"/>
      <w:bookmarkEnd w:id="185"/>
      <w:r>
        <w:rPr>
          <w:rFonts w:hint="eastAsia" w:ascii="仿宋" w:hAnsi="仿宋" w:eastAsia="仿宋" w:cs="仿宋"/>
          <w:sz w:val="24"/>
          <w:szCs w:val="24"/>
          <w:highlight w:val="none"/>
          <w:lang w:val="zh-CN"/>
        </w:rPr>
        <w:t>符合《</w:t>
      </w:r>
      <w:r>
        <w:rPr>
          <w:rFonts w:hint="eastAsia" w:ascii="仿宋" w:hAnsi="仿宋" w:eastAsia="仿宋" w:cs="仿宋"/>
          <w:sz w:val="24"/>
          <w:szCs w:val="24"/>
          <w:highlight w:val="none"/>
        </w:rPr>
        <w:t>衢州市国有企业采购管理办法（试行）</w:t>
      </w:r>
      <w:r>
        <w:rPr>
          <w:rFonts w:hint="eastAsia" w:ascii="仿宋" w:hAnsi="仿宋" w:eastAsia="仿宋" w:cs="仿宋"/>
          <w:sz w:val="24"/>
          <w:szCs w:val="24"/>
          <w:highlight w:val="none"/>
          <w:lang w:val="zh-CN"/>
        </w:rPr>
        <w:t>》第</w:t>
      </w:r>
      <w:r>
        <w:rPr>
          <w:rFonts w:hint="eastAsia" w:ascii="仿宋" w:hAnsi="仿宋" w:eastAsia="仿宋" w:cs="仿宋"/>
          <w:sz w:val="24"/>
          <w:szCs w:val="24"/>
          <w:highlight w:val="none"/>
        </w:rPr>
        <w:t>十五</w:t>
      </w:r>
      <w:r>
        <w:rPr>
          <w:rFonts w:hint="eastAsia" w:ascii="仿宋" w:hAnsi="仿宋" w:eastAsia="仿宋" w:cs="仿宋"/>
          <w:sz w:val="24"/>
          <w:szCs w:val="24"/>
          <w:highlight w:val="none"/>
          <w:lang w:val="zh-CN"/>
        </w:rPr>
        <w:t>条</w:t>
      </w:r>
      <w:r>
        <w:rPr>
          <w:rFonts w:hint="eastAsia" w:ascii="仿宋" w:hAnsi="仿宋" w:eastAsia="仿宋" w:cs="仿宋"/>
          <w:sz w:val="24"/>
          <w:szCs w:val="24"/>
          <w:highlight w:val="none"/>
        </w:rPr>
        <w:t>规定：</w:t>
      </w:r>
      <w:bookmarkEnd w:id="186"/>
      <w:bookmarkEnd w:id="187"/>
      <w:bookmarkEnd w:id="188"/>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1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⑴</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具有独立承担民事责任的能力；</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2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⑵</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具有良好的商业信誉和健全的财务会计制度；</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3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⑶</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具有履行合同所必需的设备、技术和售后保障等能力；</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4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⑷</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有依法缴纳税收和社会保障资金的良好记录；</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5 \* GB2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⑸</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参加采购、招投标等活动前3年内，在经营活动中没有重大违法记录和行贿犯罪记录；</w:t>
      </w:r>
    </w:p>
    <w:p>
      <w:pPr>
        <w:pStyle w:val="14"/>
        <w:spacing w:line="360" w:lineRule="auto"/>
        <w:ind w:firstLine="480"/>
        <w:rPr>
          <w:rFonts w:hint="eastAsia" w:ascii="仿宋" w:hAnsi="仿宋" w:eastAsia="仿宋" w:cs="仿宋"/>
          <w:color w:val="000000"/>
          <w:sz w:val="24"/>
          <w:szCs w:val="24"/>
          <w:highlight w:val="none"/>
        </w:rPr>
      </w:pPr>
      <w:r>
        <w:rPr>
          <w:rFonts w:hint="eastAsia" w:ascii="仿宋" w:hAnsi="仿宋" w:eastAsia="仿宋" w:cs="仿宋"/>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 6 \* GB2 \* MERGEFORMAT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kern w:val="2"/>
          <w:sz w:val="24"/>
          <w:szCs w:val="24"/>
          <w:highlight w:val="none"/>
          <w:lang w:val="en-US" w:eastAsia="zh-CN" w:bidi="ar-SA"/>
        </w:rPr>
        <w:t>⑹</w:t>
      </w:r>
      <w:r>
        <w:rPr>
          <w:rFonts w:hint="eastAsia" w:ascii="仿宋" w:hAnsi="仿宋" w:eastAsia="仿宋" w:cs="仿宋"/>
          <w:kern w:val="2"/>
          <w:sz w:val="24"/>
          <w:szCs w:val="24"/>
          <w:highlight w:val="none"/>
          <w:lang w:val="en-US" w:eastAsia="zh-CN" w:bidi="ar-SA"/>
        </w:rPr>
        <w:fldChar w:fldCharType="end"/>
      </w:r>
      <w:r>
        <w:rPr>
          <w:rFonts w:hint="eastAsia" w:ascii="仿宋" w:hAnsi="仿宋" w:eastAsia="仿宋" w:cs="仿宋"/>
          <w:sz w:val="24"/>
          <w:szCs w:val="24"/>
          <w:highlight w:val="none"/>
        </w:rPr>
        <w:t>具有法律法规和规范性文件规定的其他条件。</w:t>
      </w:r>
    </w:p>
    <w:p>
      <w:pPr>
        <w:pStyle w:val="14"/>
        <w:spacing w:line="360"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二、未被“信用中国”（www.creditchina.gov.cn</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、中国政府采购网（www.ccgp.gov.cn）列入失信被执行人、重大税收违法案件当事人名单、采购严重违法失信行为记录名单。</w:t>
      </w:r>
    </w:p>
    <w:p>
      <w:pPr>
        <w:pStyle w:val="14"/>
        <w:spacing w:line="360"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三、没有下列情形：</w:t>
      </w:r>
    </w:p>
    <w:p>
      <w:pPr>
        <w:pStyle w:val="14"/>
        <w:spacing w:line="360" w:lineRule="auto"/>
        <w:ind w:firstLine="480"/>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单位负责人为同一人或者存在直接控股、管理关系的不同供应商参加同一合同项下的采购活动。</w:t>
      </w:r>
    </w:p>
    <w:p>
      <w:pPr>
        <w:pStyle w:val="14"/>
        <w:spacing w:line="360" w:lineRule="auto"/>
        <w:ind w:firstLine="480"/>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我方对上述承诺的内容事项真实性负责，如有虚假，由我方承担相关法律责任。</w:t>
      </w:r>
    </w:p>
    <w:p>
      <w:pPr>
        <w:spacing w:line="360" w:lineRule="auto"/>
        <w:ind w:firstLine="4320" w:firstLineChars="1800"/>
        <w:rPr>
          <w:rFonts w:hint="eastAsia" w:ascii="仿宋" w:hAnsi="仿宋" w:eastAsia="仿宋" w:cs="仿宋"/>
          <w:sz w:val="24"/>
          <w:szCs w:val="24"/>
          <w:highlight w:val="none"/>
        </w:rPr>
      </w:pPr>
    </w:p>
    <w:p>
      <w:pPr>
        <w:adjustRightInd w:val="0"/>
        <w:snapToGri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zh-CN"/>
        </w:rPr>
        <w:t>供应商名称（公章）：</w:t>
      </w:r>
    </w:p>
    <w:p>
      <w:pPr>
        <w:adjustRightInd w:val="0"/>
        <w:snapToGrid w:val="0"/>
        <w:spacing w:line="360" w:lineRule="auto"/>
        <w:ind w:right="93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法定代表人或授权代表人（签字或盖章）</w:t>
      </w:r>
    </w:p>
    <w:p>
      <w:pPr>
        <w:adjustRightInd w:val="0"/>
        <w:snapToGrid w:val="0"/>
        <w:spacing w:line="360" w:lineRule="auto"/>
        <w:ind w:right="930"/>
        <w:rPr>
          <w:rFonts w:hint="eastAsia" w:ascii="仿宋" w:hAnsi="仿宋" w:eastAsia="仿宋" w:cs="仿宋"/>
          <w:sz w:val="24"/>
          <w:szCs w:val="24"/>
          <w:highlight w:val="none"/>
          <w:u w:val="single"/>
        </w:rPr>
      </w:pPr>
      <w:r>
        <w:rPr>
          <w:rFonts w:hint="eastAsia" w:ascii="仿宋" w:hAnsi="仿宋" w:eastAsia="仿宋" w:cs="仿宋"/>
          <w:kern w:val="0"/>
          <w:sz w:val="24"/>
          <w:szCs w:val="24"/>
          <w:highlight w:val="none"/>
          <w:lang w:val="zh-CN"/>
        </w:rPr>
        <w:t>日期：</w:t>
      </w:r>
      <w:r>
        <w:rPr>
          <w:rFonts w:hint="eastAsia" w:ascii="仿宋" w:hAnsi="仿宋" w:eastAsia="仿宋" w:cs="仿宋"/>
          <w:sz w:val="24"/>
          <w:szCs w:val="24"/>
          <w:highlight w:val="none"/>
          <w:u w:val="single"/>
        </w:rPr>
        <w:t xml:space="preserve">    年   月   日</w:t>
      </w:r>
    </w:p>
    <w:p>
      <w:pPr>
        <w:pStyle w:val="8"/>
        <w:rPr>
          <w:rFonts w:hint="eastAsia" w:ascii="仿宋" w:hAnsi="仿宋" w:eastAsia="仿宋" w:cs="仿宋"/>
          <w:sz w:val="24"/>
          <w:szCs w:val="24"/>
          <w:highlight w:val="none"/>
          <w:u w:val="single"/>
        </w:rPr>
      </w:pPr>
    </w:p>
    <w:p>
      <w:pPr>
        <w:pStyle w:val="8"/>
        <w:rPr>
          <w:rFonts w:hint="eastAsia" w:ascii="仿宋" w:hAnsi="仿宋" w:eastAsia="仿宋" w:cs="仿宋"/>
          <w:sz w:val="24"/>
          <w:szCs w:val="24"/>
          <w:highlight w:val="none"/>
          <w:u w:val="single"/>
        </w:rPr>
      </w:pPr>
    </w:p>
    <w:p>
      <w:pPr>
        <w:pStyle w:val="8"/>
        <w:rPr>
          <w:rFonts w:hint="eastAsia" w:ascii="仿宋" w:hAnsi="仿宋" w:eastAsia="仿宋" w:cs="仿宋"/>
          <w:sz w:val="24"/>
          <w:szCs w:val="24"/>
          <w:highlight w:val="none"/>
          <w:u w:val="single"/>
        </w:rPr>
      </w:pPr>
    </w:p>
    <w:p>
      <w:pPr>
        <w:pStyle w:val="8"/>
        <w:rPr>
          <w:rFonts w:hint="eastAsia" w:ascii="仿宋" w:hAnsi="仿宋" w:eastAsia="仿宋" w:cs="仿宋"/>
          <w:sz w:val="24"/>
          <w:szCs w:val="24"/>
          <w:highlight w:val="none"/>
          <w:u w:val="single"/>
        </w:rPr>
      </w:pPr>
    </w:p>
    <w:p>
      <w:pPr>
        <w:pStyle w:val="8"/>
        <w:rPr>
          <w:rFonts w:hint="eastAsia" w:ascii="仿宋" w:hAnsi="仿宋" w:eastAsia="仿宋" w:cs="仿宋"/>
          <w:sz w:val="24"/>
          <w:szCs w:val="24"/>
          <w:highlight w:val="none"/>
          <w:u w:val="single"/>
        </w:rPr>
      </w:pPr>
    </w:p>
    <w:p>
      <w:pPr>
        <w:pStyle w:val="8"/>
        <w:rPr>
          <w:rFonts w:hint="eastAsia" w:ascii="仿宋" w:hAnsi="仿宋" w:eastAsia="仿宋" w:cs="仿宋"/>
          <w:sz w:val="24"/>
          <w:szCs w:val="24"/>
          <w:highlight w:val="none"/>
          <w:u w:val="single"/>
        </w:rPr>
      </w:pPr>
    </w:p>
    <w:p>
      <w:pPr>
        <w:pStyle w:val="8"/>
        <w:rPr>
          <w:rFonts w:hint="eastAsia" w:ascii="仿宋" w:hAnsi="仿宋" w:eastAsia="仿宋" w:cs="仿宋"/>
          <w:sz w:val="24"/>
          <w:szCs w:val="24"/>
          <w:highlight w:val="none"/>
          <w:u w:val="single"/>
        </w:rPr>
      </w:pPr>
    </w:p>
    <w:p>
      <w:pPr>
        <w:pStyle w:val="8"/>
        <w:rPr>
          <w:rFonts w:hint="eastAsia" w:ascii="仿宋" w:hAnsi="仿宋" w:eastAsia="仿宋" w:cs="仿宋"/>
          <w:color w:val="auto"/>
          <w:sz w:val="24"/>
          <w:szCs w:val="24"/>
          <w:highlight w:val="none"/>
          <w:u w:val="single"/>
        </w:rPr>
      </w:pPr>
    </w:p>
    <w:p>
      <w:pPr>
        <w:snapToGrid w:val="0"/>
        <w:spacing w:line="360" w:lineRule="auto"/>
        <w:jc w:val="center"/>
        <w:rPr>
          <w:rFonts w:hint="eastAsia" w:ascii="仿宋" w:hAnsi="仿宋" w:eastAsia="仿宋" w:cs="仿宋"/>
          <w:b/>
          <w:sz w:val="28"/>
          <w:szCs w:val="28"/>
          <w:highlight w:val="none"/>
        </w:rPr>
      </w:pPr>
      <w:r>
        <w:rPr>
          <w:rStyle w:val="27"/>
          <w:rFonts w:hint="eastAsia" w:ascii="仿宋" w:hAnsi="仿宋" w:eastAsia="仿宋" w:cs="仿宋"/>
          <w:sz w:val="28"/>
          <w:szCs w:val="28"/>
          <w:highlight w:val="none"/>
          <w:lang w:val="en-US"/>
        </w:rPr>
        <w:t>二</w:t>
      </w:r>
      <w:r>
        <w:rPr>
          <w:rStyle w:val="27"/>
          <w:rFonts w:hint="eastAsia" w:ascii="仿宋" w:hAnsi="仿宋" w:eastAsia="仿宋" w:cs="仿宋"/>
          <w:sz w:val="28"/>
          <w:szCs w:val="28"/>
          <w:highlight w:val="none"/>
        </w:rPr>
        <w:t>、投标文件封面</w:t>
      </w:r>
    </w:p>
    <w:p>
      <w:pPr>
        <w:spacing w:line="360" w:lineRule="auto"/>
        <w:ind w:left="1800" w:leftChars="857"/>
        <w:jc w:val="right"/>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360" w:lineRule="auto"/>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p>
    <w:p>
      <w:pPr>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技术商务</w:t>
      </w:r>
      <w:r>
        <w:rPr>
          <w:rFonts w:hint="eastAsia" w:ascii="仿宋" w:hAnsi="仿宋" w:eastAsia="仿宋" w:cs="仿宋"/>
          <w:sz w:val="28"/>
          <w:szCs w:val="28"/>
          <w:highlight w:val="none"/>
        </w:rPr>
        <w:t>文件</w:t>
      </w:r>
    </w:p>
    <w:p>
      <w:pPr>
        <w:snapToGrid w:val="0"/>
        <w:spacing w:line="360" w:lineRule="auto"/>
        <w:ind w:firstLine="1962" w:firstLineChars="698"/>
        <w:rPr>
          <w:rFonts w:hint="eastAsia" w:ascii="仿宋" w:hAnsi="仿宋" w:eastAsia="仿宋" w:cs="仿宋"/>
          <w:b/>
          <w:sz w:val="28"/>
          <w:szCs w:val="28"/>
          <w:highlight w:val="none"/>
        </w:rPr>
      </w:pPr>
    </w:p>
    <w:p>
      <w:pPr>
        <w:pStyle w:val="8"/>
        <w:spacing w:line="360" w:lineRule="auto"/>
        <w:rPr>
          <w:rFonts w:hint="eastAsia" w:ascii="仿宋" w:hAnsi="仿宋" w:eastAsia="仿宋" w:cs="仿宋"/>
          <w:highlight w:val="none"/>
        </w:rPr>
      </w:pPr>
    </w:p>
    <w:p>
      <w:pPr>
        <w:snapToGrid w:val="0"/>
        <w:spacing w:line="360" w:lineRule="auto"/>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p>
    <w:p>
      <w:pPr>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rPr>
        <w:t xml:space="preserve">                    </w:t>
      </w:r>
    </w:p>
    <w:p>
      <w:pPr>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（盖单位公章）</w:t>
      </w:r>
    </w:p>
    <w:p>
      <w:pPr>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u w:val="single"/>
        </w:rPr>
        <w:t xml:space="preserve">    年   月   日</w:t>
      </w:r>
    </w:p>
    <w:p>
      <w:pPr>
        <w:snapToGrid w:val="0"/>
        <w:spacing w:line="360" w:lineRule="auto"/>
        <w:jc w:val="center"/>
        <w:outlineLvl w:val="1"/>
        <w:rPr>
          <w:rFonts w:hint="eastAsia" w:ascii="仿宋" w:hAnsi="仿宋" w:eastAsia="仿宋" w:cs="仿宋"/>
          <w:sz w:val="28"/>
          <w:szCs w:val="28"/>
          <w:highlight w:val="none"/>
        </w:rPr>
        <w:sectPr>
          <w:pgSz w:w="11922" w:h="16838"/>
          <w:pgMar w:top="1417" w:right="1304" w:bottom="1417" w:left="1304" w:header="397" w:footer="1037" w:gutter="0"/>
          <w:cols w:space="0" w:num="1"/>
          <w:rtlGutter w:val="0"/>
          <w:docGrid w:linePitch="312" w:charSpace="0"/>
        </w:sectPr>
      </w:pPr>
    </w:p>
    <w:p>
      <w:pPr>
        <w:adjustRightInd w:val="0"/>
        <w:spacing w:beforeLines="0" w:afterLines="0" w:line="360" w:lineRule="auto"/>
        <w:jc w:val="center"/>
        <w:textAlignment w:val="baseline"/>
        <w:outlineLvl w:val="1"/>
        <w:rPr>
          <w:rFonts w:hint="eastAsia" w:ascii="仿宋" w:hAnsi="仿宋" w:eastAsia="仿宋" w:cs="仿宋"/>
          <w:sz w:val="28"/>
          <w:szCs w:val="28"/>
          <w:highlight w:val="none"/>
        </w:rPr>
      </w:pPr>
      <w:bookmarkStart w:id="189" w:name="_Toc12567"/>
      <w:bookmarkStart w:id="190" w:name="_Toc9300"/>
      <w:bookmarkStart w:id="191" w:name="_Toc208"/>
      <w:r>
        <w:rPr>
          <w:rFonts w:hint="eastAsia" w:ascii="仿宋" w:hAnsi="仿宋" w:eastAsia="仿宋" w:cs="仿宋"/>
          <w:b w:val="0"/>
          <w:bCs/>
          <w:sz w:val="28"/>
          <w:szCs w:val="28"/>
          <w:highlight w:val="none"/>
        </w:rPr>
        <w:t>1. 评分索引表</w:t>
      </w:r>
      <w:bookmarkEnd w:id="189"/>
      <w:bookmarkEnd w:id="190"/>
      <w:bookmarkEnd w:id="191"/>
    </w:p>
    <w:tbl>
      <w:tblPr>
        <w:tblStyle w:val="16"/>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28"/>
        <w:gridCol w:w="1037"/>
        <w:gridCol w:w="1327"/>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评分</w:t>
            </w:r>
          </w:p>
          <w:p>
            <w:pPr>
              <w:spacing w:beforeLines="0" w:afterLines="0"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w:t>
            </w:r>
          </w:p>
        </w:tc>
        <w:tc>
          <w:tcPr>
            <w:tcW w:w="5528"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spacing w:beforeLines="0" w:afterLines="0"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评分内容</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spacing w:beforeLines="0" w:afterLines="0"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自评分</w:t>
            </w:r>
          </w:p>
        </w:tc>
        <w:tc>
          <w:tcPr>
            <w:tcW w:w="132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资料所在页码</w:t>
            </w:r>
          </w:p>
        </w:tc>
        <w:tc>
          <w:tcPr>
            <w:tcW w:w="62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val="0"/>
              <w:spacing w:beforeLines="0" w:afterLines="0" w:line="360" w:lineRule="auto"/>
              <w:ind w:firstLine="140" w:firstLineChars="50"/>
              <w:jc w:val="center"/>
              <w:rPr>
                <w:rFonts w:hint="eastAsia" w:ascii="仿宋" w:hAnsi="仿宋" w:eastAsia="仿宋" w:cs="仿宋"/>
                <w:sz w:val="28"/>
                <w:szCs w:val="28"/>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val="0"/>
              <w:spacing w:beforeLines="0" w:afterLines="0" w:line="360" w:lineRule="auto"/>
              <w:rPr>
                <w:rFonts w:hint="eastAsia" w:ascii="仿宋" w:hAnsi="仿宋" w:eastAsia="仿宋" w:cs="仿宋"/>
                <w:sz w:val="28"/>
                <w:szCs w:val="28"/>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val="0"/>
              <w:spacing w:beforeLines="0" w:afterLines="0" w:line="360" w:lineRule="auto"/>
              <w:ind w:left="-94" w:leftChars="-45" w:right="-122" w:rightChars="-58"/>
              <w:jc w:val="center"/>
              <w:rPr>
                <w:rFonts w:hint="eastAsia" w:ascii="仿宋" w:hAnsi="仿宋" w:eastAsia="仿宋" w:cs="仿宋"/>
                <w:sz w:val="28"/>
                <w:szCs w:val="28"/>
                <w:highlight w:val="none"/>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center"/>
              <w:rPr>
                <w:rFonts w:hint="eastAsia" w:ascii="仿宋" w:hAnsi="仿宋" w:eastAsia="仿宋" w:cs="仿宋"/>
                <w:sz w:val="28"/>
                <w:szCs w:val="28"/>
                <w:highlight w:val="none"/>
              </w:rPr>
            </w:pPr>
          </w:p>
        </w:tc>
        <w:tc>
          <w:tcPr>
            <w:tcW w:w="62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pStyle w:val="29"/>
              <w:spacing w:beforeLines="0" w:afterLines="0" w:line="360" w:lineRule="auto"/>
              <w:rPr>
                <w:rFonts w:hint="eastAsia" w:ascii="仿宋" w:hAnsi="仿宋" w:eastAsia="仿宋" w:cs="仿宋"/>
                <w:sz w:val="28"/>
                <w:szCs w:val="28"/>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pStyle w:val="29"/>
              <w:spacing w:beforeLines="0" w:afterLines="0" w:line="360" w:lineRule="auto"/>
              <w:rPr>
                <w:rFonts w:hint="eastAsia" w:ascii="仿宋" w:hAnsi="仿宋" w:eastAsia="仿宋" w:cs="仿宋"/>
                <w:sz w:val="28"/>
                <w:szCs w:val="28"/>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29"/>
              <w:spacing w:beforeLines="0" w:afterLines="0" w:line="360" w:lineRule="auto"/>
              <w:jc w:val="center"/>
              <w:rPr>
                <w:rFonts w:hint="eastAsia" w:ascii="仿宋" w:hAnsi="仿宋" w:eastAsia="仿宋" w:cs="仿宋"/>
                <w:sz w:val="28"/>
                <w:szCs w:val="28"/>
                <w:highlight w:val="none"/>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rPr>
                <w:rFonts w:hint="eastAsia" w:ascii="仿宋" w:hAnsi="仿宋" w:eastAsia="仿宋" w:cs="仿宋"/>
                <w:sz w:val="28"/>
                <w:szCs w:val="28"/>
                <w:highlight w:val="none"/>
              </w:rPr>
            </w:pPr>
          </w:p>
        </w:tc>
        <w:tc>
          <w:tcPr>
            <w:tcW w:w="62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360" w:lineRule="auto"/>
              <w:jc w:val="center"/>
              <w:rPr>
                <w:rFonts w:hint="eastAsia" w:ascii="仿宋" w:hAnsi="仿宋" w:eastAsia="仿宋" w:cs="仿宋"/>
                <w:sz w:val="28"/>
                <w:szCs w:val="28"/>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360" w:lineRule="auto"/>
              <w:jc w:val="left"/>
              <w:rPr>
                <w:rFonts w:hint="eastAsia" w:ascii="仿宋" w:hAnsi="仿宋" w:eastAsia="仿宋" w:cs="仿宋"/>
                <w:sz w:val="28"/>
                <w:szCs w:val="28"/>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center"/>
              <w:rPr>
                <w:rFonts w:hint="eastAsia" w:ascii="仿宋" w:hAnsi="仿宋" w:eastAsia="仿宋" w:cs="仿宋"/>
                <w:sz w:val="28"/>
                <w:szCs w:val="28"/>
                <w:highlight w:val="none"/>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center"/>
              <w:rPr>
                <w:rFonts w:hint="eastAsia" w:ascii="仿宋" w:hAnsi="仿宋" w:eastAsia="仿宋" w:cs="仿宋"/>
                <w:sz w:val="28"/>
                <w:szCs w:val="28"/>
                <w:highlight w:val="none"/>
              </w:rPr>
            </w:pPr>
          </w:p>
        </w:tc>
        <w:tc>
          <w:tcPr>
            <w:tcW w:w="62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center"/>
              <w:rPr>
                <w:rFonts w:hint="eastAsia" w:ascii="仿宋" w:hAnsi="仿宋" w:eastAsia="仿宋" w:cs="仿宋"/>
                <w:sz w:val="28"/>
                <w:szCs w:val="28"/>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left"/>
              <w:rPr>
                <w:rFonts w:hint="eastAsia" w:ascii="仿宋" w:hAnsi="仿宋" w:eastAsia="仿宋" w:cs="仿宋"/>
                <w:sz w:val="28"/>
                <w:szCs w:val="28"/>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center"/>
              <w:rPr>
                <w:rFonts w:hint="eastAsia" w:ascii="仿宋" w:hAnsi="仿宋" w:eastAsia="仿宋" w:cs="仿宋"/>
                <w:sz w:val="28"/>
                <w:szCs w:val="28"/>
                <w:highlight w:val="none"/>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rPr>
                <w:rFonts w:hint="eastAsia" w:ascii="仿宋" w:hAnsi="仿宋" w:eastAsia="仿宋" w:cs="仿宋"/>
                <w:sz w:val="28"/>
                <w:szCs w:val="28"/>
                <w:highlight w:val="none"/>
              </w:rPr>
            </w:pPr>
          </w:p>
        </w:tc>
        <w:tc>
          <w:tcPr>
            <w:tcW w:w="62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val="0"/>
              <w:spacing w:beforeLines="0" w:afterLines="0" w:line="360" w:lineRule="auto"/>
              <w:jc w:val="center"/>
              <w:rPr>
                <w:rFonts w:hint="eastAsia" w:ascii="仿宋" w:hAnsi="仿宋" w:eastAsia="仿宋" w:cs="仿宋"/>
                <w:sz w:val="28"/>
                <w:szCs w:val="28"/>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val="0"/>
              <w:spacing w:beforeLines="0" w:afterLines="0" w:line="360" w:lineRule="auto"/>
              <w:jc w:val="left"/>
              <w:rPr>
                <w:rFonts w:hint="eastAsia" w:ascii="仿宋" w:hAnsi="仿宋" w:eastAsia="仿宋" w:cs="仿宋"/>
                <w:sz w:val="28"/>
                <w:szCs w:val="28"/>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val="0"/>
              <w:spacing w:beforeLines="0" w:afterLines="0" w:line="360" w:lineRule="auto"/>
              <w:jc w:val="center"/>
              <w:rPr>
                <w:rFonts w:hint="eastAsia" w:ascii="仿宋" w:hAnsi="仿宋" w:eastAsia="仿宋" w:cs="仿宋"/>
                <w:sz w:val="28"/>
                <w:szCs w:val="28"/>
                <w:highlight w:val="none"/>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rPr>
                <w:rFonts w:hint="eastAsia" w:ascii="仿宋" w:hAnsi="仿宋" w:eastAsia="仿宋" w:cs="仿宋"/>
                <w:sz w:val="28"/>
                <w:szCs w:val="28"/>
                <w:highlight w:val="none"/>
              </w:rPr>
            </w:pPr>
          </w:p>
        </w:tc>
        <w:tc>
          <w:tcPr>
            <w:tcW w:w="62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center"/>
              <w:rPr>
                <w:rFonts w:hint="eastAsia" w:ascii="仿宋" w:hAnsi="仿宋" w:eastAsia="仿宋" w:cs="仿宋"/>
                <w:sz w:val="28"/>
                <w:szCs w:val="28"/>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spacing w:before="0" w:beforeLines="0" w:after="0" w:afterLines="0" w:line="360" w:lineRule="auto"/>
              <w:jc w:val="left"/>
              <w:rPr>
                <w:rFonts w:hint="eastAsia" w:ascii="仿宋" w:hAnsi="仿宋" w:eastAsia="仿宋" w:cs="仿宋"/>
                <w:sz w:val="28"/>
                <w:szCs w:val="28"/>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center"/>
              <w:rPr>
                <w:rFonts w:hint="eastAsia" w:ascii="仿宋" w:hAnsi="仿宋" w:eastAsia="仿宋" w:cs="仿宋"/>
                <w:sz w:val="28"/>
                <w:szCs w:val="28"/>
                <w:highlight w:val="none"/>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rPr>
                <w:rFonts w:hint="eastAsia" w:ascii="仿宋" w:hAnsi="仿宋" w:eastAsia="仿宋" w:cs="仿宋"/>
                <w:sz w:val="28"/>
                <w:szCs w:val="28"/>
                <w:highlight w:val="none"/>
              </w:rPr>
            </w:pPr>
          </w:p>
        </w:tc>
        <w:tc>
          <w:tcPr>
            <w:tcW w:w="62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center"/>
              <w:rPr>
                <w:rFonts w:hint="eastAsia" w:ascii="仿宋" w:hAnsi="仿宋" w:eastAsia="仿宋" w:cs="仿宋"/>
                <w:sz w:val="28"/>
                <w:szCs w:val="28"/>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spacing w:before="0" w:beforeLines="0" w:after="0" w:afterLines="0" w:line="360" w:lineRule="auto"/>
              <w:jc w:val="left"/>
              <w:rPr>
                <w:rFonts w:hint="eastAsia" w:ascii="仿宋" w:hAnsi="仿宋" w:eastAsia="仿宋" w:cs="仿宋"/>
                <w:sz w:val="28"/>
                <w:szCs w:val="28"/>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center"/>
              <w:rPr>
                <w:rFonts w:hint="eastAsia" w:ascii="仿宋" w:hAnsi="仿宋" w:eastAsia="仿宋" w:cs="仿宋"/>
                <w:sz w:val="28"/>
                <w:szCs w:val="28"/>
                <w:highlight w:val="none"/>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rPr>
                <w:rFonts w:hint="eastAsia" w:ascii="仿宋" w:hAnsi="仿宋" w:eastAsia="仿宋" w:cs="仿宋"/>
                <w:sz w:val="28"/>
                <w:szCs w:val="28"/>
                <w:highlight w:val="none"/>
              </w:rPr>
            </w:pPr>
          </w:p>
        </w:tc>
        <w:tc>
          <w:tcPr>
            <w:tcW w:w="62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pStyle w:val="29"/>
              <w:spacing w:beforeLines="0" w:afterLines="0" w:line="360" w:lineRule="auto"/>
              <w:rPr>
                <w:rFonts w:hint="eastAsia" w:ascii="仿宋" w:hAnsi="仿宋" w:eastAsia="仿宋" w:cs="仿宋"/>
                <w:sz w:val="28"/>
                <w:szCs w:val="28"/>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pStyle w:val="29"/>
              <w:spacing w:beforeLines="0" w:afterLines="0"/>
              <w:rPr>
                <w:rFonts w:hint="eastAsia" w:ascii="仿宋" w:hAnsi="仿宋" w:eastAsia="仿宋" w:cs="仿宋"/>
                <w:sz w:val="28"/>
                <w:szCs w:val="28"/>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29"/>
              <w:spacing w:beforeLines="0" w:afterLines="0"/>
              <w:jc w:val="center"/>
              <w:rPr>
                <w:rFonts w:hint="eastAsia" w:ascii="仿宋" w:hAnsi="仿宋" w:eastAsia="仿宋" w:cs="仿宋"/>
                <w:sz w:val="28"/>
                <w:szCs w:val="28"/>
                <w:highlight w:val="none"/>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rPr>
                <w:rFonts w:hint="eastAsia" w:ascii="仿宋" w:hAnsi="仿宋" w:eastAsia="仿宋" w:cs="仿宋"/>
                <w:sz w:val="28"/>
                <w:szCs w:val="28"/>
                <w:highlight w:val="none"/>
              </w:rPr>
            </w:pPr>
          </w:p>
        </w:tc>
        <w:tc>
          <w:tcPr>
            <w:tcW w:w="62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center"/>
              <w:rPr>
                <w:rFonts w:hint="eastAsia" w:ascii="仿宋" w:hAnsi="仿宋" w:eastAsia="仿宋" w:cs="仿宋"/>
                <w:sz w:val="28"/>
                <w:szCs w:val="28"/>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left"/>
              <w:rPr>
                <w:rFonts w:hint="eastAsia" w:ascii="仿宋" w:hAnsi="仿宋" w:eastAsia="仿宋" w:cs="仿宋"/>
                <w:sz w:val="28"/>
                <w:szCs w:val="28"/>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center"/>
              <w:rPr>
                <w:rFonts w:hint="eastAsia" w:ascii="仿宋" w:hAnsi="仿宋" w:eastAsia="仿宋" w:cs="仿宋"/>
                <w:sz w:val="28"/>
                <w:szCs w:val="28"/>
                <w:highlight w:val="none"/>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rPr>
                <w:rFonts w:hint="eastAsia" w:ascii="仿宋" w:hAnsi="仿宋" w:eastAsia="仿宋" w:cs="仿宋"/>
                <w:sz w:val="28"/>
                <w:szCs w:val="28"/>
                <w:highlight w:val="none"/>
              </w:rPr>
            </w:pPr>
          </w:p>
        </w:tc>
        <w:tc>
          <w:tcPr>
            <w:tcW w:w="62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center"/>
              <w:rPr>
                <w:rFonts w:hint="eastAsia" w:ascii="仿宋" w:hAnsi="仿宋" w:eastAsia="仿宋" w:cs="仿宋"/>
                <w:sz w:val="28"/>
                <w:szCs w:val="28"/>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left"/>
              <w:rPr>
                <w:rFonts w:hint="eastAsia" w:ascii="仿宋" w:hAnsi="仿宋" w:eastAsia="仿宋" w:cs="仿宋"/>
                <w:sz w:val="28"/>
                <w:szCs w:val="28"/>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center"/>
              <w:rPr>
                <w:rFonts w:hint="eastAsia" w:ascii="仿宋" w:hAnsi="仿宋" w:eastAsia="仿宋" w:cs="仿宋"/>
                <w:sz w:val="28"/>
                <w:szCs w:val="28"/>
                <w:highlight w:val="none"/>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360" w:lineRule="auto"/>
              <w:rPr>
                <w:rFonts w:hint="eastAsia" w:ascii="仿宋" w:hAnsi="仿宋" w:eastAsia="仿宋" w:cs="仿宋"/>
                <w:sz w:val="28"/>
                <w:szCs w:val="28"/>
                <w:highlight w:val="none"/>
              </w:rPr>
            </w:pPr>
          </w:p>
        </w:tc>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360" w:lineRule="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left"/>
              <w:rPr>
                <w:rFonts w:hint="eastAsia" w:ascii="仿宋" w:hAnsi="仿宋" w:eastAsia="仿宋" w:cs="仿宋"/>
                <w:sz w:val="28"/>
                <w:szCs w:val="28"/>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left"/>
              <w:rPr>
                <w:rFonts w:hint="eastAsia" w:ascii="仿宋" w:hAnsi="仿宋" w:eastAsia="仿宋" w:cs="仿宋"/>
                <w:sz w:val="28"/>
                <w:szCs w:val="28"/>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left"/>
              <w:rPr>
                <w:rFonts w:hint="eastAsia" w:ascii="仿宋" w:hAnsi="仿宋" w:eastAsia="仿宋" w:cs="仿宋"/>
                <w:sz w:val="28"/>
                <w:szCs w:val="28"/>
                <w:highlight w:val="none"/>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360" w:lineRule="auto"/>
              <w:rPr>
                <w:rFonts w:hint="eastAsia" w:ascii="仿宋" w:hAnsi="仿宋" w:eastAsia="仿宋" w:cs="仿宋"/>
                <w:sz w:val="28"/>
                <w:szCs w:val="28"/>
                <w:highlight w:val="none"/>
              </w:rPr>
            </w:pPr>
          </w:p>
        </w:tc>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360" w:lineRule="auto"/>
              <w:rPr>
                <w:rFonts w:hint="eastAsia" w:ascii="仿宋" w:hAnsi="仿宋" w:eastAsia="仿宋" w:cs="仿宋"/>
                <w:sz w:val="28"/>
                <w:szCs w:val="28"/>
                <w:highlight w:val="none"/>
              </w:rPr>
            </w:pPr>
          </w:p>
        </w:tc>
      </w:tr>
    </w:tbl>
    <w:p>
      <w:pPr>
        <w:spacing w:beforeLines="0" w:afterLines="0" w:line="360" w:lineRule="auto"/>
        <w:rPr>
          <w:rFonts w:hint="eastAsia" w:ascii="仿宋" w:hAnsi="仿宋" w:eastAsia="仿宋" w:cs="仿宋"/>
          <w:sz w:val="28"/>
          <w:szCs w:val="28"/>
          <w:highlight w:val="none"/>
        </w:rPr>
      </w:pPr>
    </w:p>
    <w:p>
      <w:pPr>
        <w:spacing w:beforeLines="0" w:afterLines="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注：投标人须填写此表，并</w:t>
      </w:r>
      <w:r>
        <w:rPr>
          <w:rFonts w:hint="eastAsia" w:ascii="仿宋" w:hAnsi="仿宋" w:eastAsia="仿宋" w:cs="仿宋"/>
          <w:sz w:val="24"/>
          <w:szCs w:val="24"/>
          <w:highlight w:val="none"/>
          <w:lang w:val="en-US" w:eastAsia="zh-CN"/>
        </w:rPr>
        <w:t>附在</w:t>
      </w:r>
      <w:r>
        <w:rPr>
          <w:rFonts w:hint="eastAsia" w:ascii="仿宋" w:hAnsi="仿宋" w:eastAsia="仿宋" w:cs="仿宋"/>
          <w:sz w:val="24"/>
          <w:szCs w:val="24"/>
          <w:highlight w:val="none"/>
          <w:lang w:eastAsia="zh-CN"/>
        </w:rPr>
        <w:t>技术商务</w:t>
      </w:r>
      <w:r>
        <w:rPr>
          <w:rFonts w:hint="eastAsia" w:ascii="仿宋" w:hAnsi="仿宋" w:eastAsia="仿宋" w:cs="仿宋"/>
          <w:sz w:val="24"/>
          <w:szCs w:val="24"/>
          <w:highlight w:val="none"/>
        </w:rPr>
        <w:t>文件目录之后。</w:t>
      </w:r>
    </w:p>
    <w:p>
      <w:pPr>
        <w:spacing w:beforeLines="0" w:afterLines="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snapToGrid w:val="0"/>
        <w:spacing w:beforeLines="0" w:afterLines="0" w:line="360" w:lineRule="auto"/>
        <w:rPr>
          <w:rFonts w:hint="eastAsia" w:ascii="仿宋" w:hAnsi="仿宋" w:eastAsia="仿宋" w:cs="仿宋"/>
          <w:sz w:val="24"/>
          <w:szCs w:val="24"/>
          <w:highlight w:val="none"/>
        </w:rPr>
      </w:pPr>
    </w:p>
    <w:p>
      <w:pPr>
        <w:snapToGrid w:val="0"/>
        <w:spacing w:beforeLines="0" w:afterLines="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法定代表人或其授权代表：</w:t>
      </w:r>
      <w:r>
        <w:rPr>
          <w:rFonts w:hint="eastAsia" w:ascii="仿宋" w:hAnsi="仿宋" w:eastAsia="仿宋" w:cs="仿宋"/>
          <w:sz w:val="24"/>
          <w:szCs w:val="24"/>
          <w:highlight w:val="none"/>
          <w:u w:val="single"/>
        </w:rPr>
        <w:t xml:space="preserve">       （签字或盖章）</w:t>
      </w:r>
    </w:p>
    <w:p>
      <w:pPr>
        <w:snapToGrid w:val="0"/>
        <w:spacing w:before="0" w:beforeLines="0" w:after="0" w:afterLines="0" w:line="360" w:lineRule="auto"/>
        <w:ind w:right="-817" w:rightChars="-38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投标人名称： </w:t>
      </w:r>
      <w:r>
        <w:rPr>
          <w:rFonts w:hint="eastAsia" w:ascii="仿宋" w:hAnsi="仿宋" w:eastAsia="仿宋" w:cs="仿宋"/>
          <w:sz w:val="24"/>
          <w:szCs w:val="24"/>
          <w:highlight w:val="none"/>
          <w:u w:val="single"/>
        </w:rPr>
        <w:t xml:space="preserve">                        （公章）</w:t>
      </w:r>
    </w:p>
    <w:p>
      <w:pPr>
        <w:snapToGrid w:val="0"/>
        <w:spacing w:before="0" w:beforeLines="0" w:after="0" w:afterLines="0" w:line="360" w:lineRule="auto"/>
        <w:ind w:right="-817" w:rightChars="-389"/>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 xml:space="preserve">    年   月   日</w:t>
      </w:r>
    </w:p>
    <w:p>
      <w:pPr>
        <w:pStyle w:val="2"/>
        <w:rPr>
          <w:rFonts w:hint="eastAsia" w:ascii="仿宋" w:hAnsi="仿宋" w:eastAsia="仿宋" w:cs="仿宋"/>
          <w:highlight w:val="none"/>
        </w:rPr>
      </w:pPr>
    </w:p>
    <w:p>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 </w:t>
      </w:r>
      <w:bookmarkStart w:id="192" w:name="_Toc17309"/>
      <w:bookmarkStart w:id="193" w:name="_Toc24640"/>
      <w:bookmarkStart w:id="194" w:name="_Toc10427"/>
    </w:p>
    <w:p>
      <w:pPr>
        <w:jc w:val="center"/>
        <w:rPr>
          <w:rStyle w:val="27"/>
          <w:rFonts w:hint="eastAsia" w:ascii="仿宋" w:hAnsi="仿宋" w:eastAsia="仿宋" w:cs="仿宋"/>
          <w:b w:val="0"/>
          <w:sz w:val="28"/>
          <w:szCs w:val="28"/>
          <w:highlight w:val="none"/>
        </w:rPr>
      </w:pPr>
      <w:r>
        <w:rPr>
          <w:rFonts w:hint="eastAsia" w:ascii="仿宋" w:hAnsi="仿宋" w:eastAsia="仿宋" w:cs="仿宋"/>
          <w:b/>
          <w:bCs/>
          <w:sz w:val="28"/>
          <w:szCs w:val="28"/>
          <w:highlight w:val="none"/>
        </w:rPr>
        <w:br w:type="page"/>
      </w:r>
      <w:r>
        <w:rPr>
          <w:rFonts w:hint="eastAsia" w:ascii="仿宋" w:hAnsi="仿宋" w:eastAsia="仿宋" w:cs="仿宋"/>
          <w:bCs/>
          <w:sz w:val="28"/>
          <w:szCs w:val="28"/>
          <w:highlight w:val="none"/>
        </w:rPr>
        <w:t>2.</w:t>
      </w:r>
      <w:r>
        <w:rPr>
          <w:rStyle w:val="18"/>
          <w:rFonts w:hint="eastAsia" w:ascii="仿宋" w:hAnsi="仿宋" w:eastAsia="仿宋" w:cs="仿宋"/>
          <w:b w:val="0"/>
          <w:bCs/>
          <w:sz w:val="28"/>
          <w:szCs w:val="28"/>
          <w:highlight w:val="none"/>
        </w:rPr>
        <w:t>投标函</w:t>
      </w:r>
    </w:p>
    <w:p>
      <w:pPr>
        <w:spacing w:line="360" w:lineRule="auto"/>
        <w:ind w:firstLine="3920"/>
        <w:rPr>
          <w:rFonts w:hint="eastAsia" w:ascii="仿宋" w:hAnsi="仿宋" w:eastAsia="仿宋" w:cs="仿宋"/>
          <w:sz w:val="28"/>
          <w:szCs w:val="28"/>
          <w:highlight w:val="none"/>
        </w:rPr>
      </w:pPr>
    </w:p>
    <w:p>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致：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（采购人名称）：</w:t>
      </w:r>
    </w:p>
    <w:p>
      <w:pPr>
        <w:snapToGrid w:val="0"/>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根据贵方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项目的招标公告（项目编号：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），签字代表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（全名）经正式授权并代表投标人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（投标人名称）提交资格审查文件、</w:t>
      </w:r>
      <w:r>
        <w:rPr>
          <w:rFonts w:hint="eastAsia" w:ascii="仿宋" w:hAnsi="仿宋" w:eastAsia="仿宋" w:cs="仿宋"/>
          <w:sz w:val="24"/>
          <w:szCs w:val="24"/>
          <w:highlight w:val="none"/>
          <w:lang w:eastAsia="zh-CN"/>
        </w:rPr>
        <w:t>技术商务</w:t>
      </w:r>
      <w:r>
        <w:rPr>
          <w:rFonts w:hint="eastAsia" w:ascii="仿宋" w:hAnsi="仿宋" w:eastAsia="仿宋" w:cs="仿宋"/>
          <w:sz w:val="24"/>
          <w:szCs w:val="24"/>
          <w:highlight w:val="none"/>
        </w:rPr>
        <w:t>文件、报价文件各一份。</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据此函，签字代表宣布同意如下：</w:t>
      </w:r>
    </w:p>
    <w:p>
      <w:pPr>
        <w:pStyle w:val="9"/>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1.我方向贵方提交的所有投标文件、资料都是准确的和真实的。</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2.我方已详细审查全部“</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”，包括修改文件（如有）以及全部参考资料和有关附件，已经了解我方对于</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、采购过程、采购结果有依法进行询问、质疑、投诉的权利及相关渠道和要求。</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3.我方在投标之前已经与贵方进行了充分的沟通，完全理解并接受</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的各项规定和要求，对</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的合理性、合法性不再有异议。</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4.本投标有效期自开标日起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5.如中标，本投标文件至本项目合同履行完毕止均保持有效，本投标人将按“</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”及采购</w:t>
      </w:r>
      <w:r>
        <w:rPr>
          <w:rFonts w:hint="eastAsia" w:ascii="仿宋" w:hAnsi="仿宋" w:eastAsia="仿宋" w:cs="仿宋"/>
          <w:sz w:val="24"/>
          <w:szCs w:val="24"/>
          <w:highlight w:val="none"/>
          <w:lang w:eastAsia="zh-CN"/>
        </w:rPr>
        <w:t>法律法规</w:t>
      </w:r>
      <w:r>
        <w:rPr>
          <w:rFonts w:hint="eastAsia" w:ascii="仿宋" w:hAnsi="仿宋" w:eastAsia="仿宋" w:cs="仿宋"/>
          <w:sz w:val="24"/>
          <w:szCs w:val="24"/>
          <w:highlight w:val="none"/>
        </w:rPr>
        <w:t>的规定履行合同责任和义务。</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6.我方同意按照贵方要求提供与投标有关的一切数据或资料。</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7.与本投标有关的一切正式往来信函请寄：</w:t>
      </w:r>
    </w:p>
    <w:p>
      <w:pPr>
        <w:snapToGrid w:val="0"/>
        <w:spacing w:line="360" w:lineRule="auto"/>
        <w:rPr>
          <w:rFonts w:hint="eastAsia" w:ascii="仿宋" w:hAnsi="仿宋" w:eastAsia="仿宋" w:cs="仿宋"/>
          <w:sz w:val="24"/>
          <w:szCs w:val="24"/>
          <w:highlight w:val="none"/>
        </w:rPr>
      </w:pPr>
    </w:p>
    <w:p>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邮编：</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电话：</w:t>
      </w:r>
      <w:r>
        <w:rPr>
          <w:rFonts w:hint="eastAsia" w:ascii="仿宋" w:hAnsi="仿宋" w:eastAsia="仿宋" w:cs="仿宋"/>
          <w:sz w:val="24"/>
          <w:szCs w:val="24"/>
          <w:highlight w:val="none"/>
          <w:u w:val="single"/>
        </w:rPr>
        <w:t xml:space="preserve">             </w:t>
      </w:r>
    </w:p>
    <w:p>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传真：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投标人代表姓名：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职务：</w:t>
      </w:r>
      <w:r>
        <w:rPr>
          <w:rFonts w:hint="eastAsia" w:ascii="仿宋" w:hAnsi="仿宋" w:eastAsia="仿宋" w:cs="仿宋"/>
          <w:sz w:val="24"/>
          <w:szCs w:val="24"/>
          <w:highlight w:val="none"/>
          <w:u w:val="single"/>
        </w:rPr>
        <w:t xml:space="preserve">             </w:t>
      </w:r>
    </w:p>
    <w:p>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p>
    <w:p>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银行账号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被授权代表签字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u w:val="single"/>
        </w:rPr>
        <w:t xml:space="preserve">           </w:t>
      </w:r>
    </w:p>
    <w:p>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u w:val="single"/>
        </w:rPr>
        <w:t xml:space="preserve">    年   月   日</w:t>
      </w:r>
    </w:p>
    <w:p>
      <w:pPr>
        <w:spacing w:line="540" w:lineRule="exact"/>
        <w:ind w:firstLine="480" w:firstLineChars="200"/>
        <w:rPr>
          <w:rFonts w:hint="eastAsia" w:ascii="仿宋" w:hAnsi="仿宋" w:eastAsia="仿宋" w:cs="仿宋"/>
          <w:sz w:val="24"/>
          <w:szCs w:val="24"/>
          <w:highlight w:val="none"/>
        </w:rPr>
        <w:sectPr>
          <w:pgSz w:w="11922" w:h="16838"/>
          <w:pgMar w:top="1417" w:right="1304" w:bottom="1417" w:left="1304" w:header="397" w:footer="1037" w:gutter="0"/>
          <w:cols w:space="0" w:num="1"/>
          <w:rtlGutter w:val="0"/>
          <w:docGrid w:linePitch="312" w:charSpace="0"/>
        </w:sectPr>
      </w:pPr>
    </w:p>
    <w:p>
      <w:pPr>
        <w:autoSpaceDE w:val="0"/>
        <w:autoSpaceDN w:val="0"/>
        <w:adjustRightInd w:val="0"/>
        <w:spacing w:line="320" w:lineRule="atLeast"/>
        <w:jc w:val="center"/>
        <w:rPr>
          <w:rFonts w:hint="eastAsia" w:ascii="仿宋" w:hAnsi="仿宋" w:eastAsia="仿宋" w:cs="仿宋"/>
          <w:spacing w:val="20"/>
          <w:sz w:val="28"/>
          <w:szCs w:val="28"/>
          <w:highlight w:val="none"/>
          <w:lang w:val="zh-CN"/>
        </w:rPr>
      </w:pPr>
      <w:r>
        <w:rPr>
          <w:rFonts w:hint="eastAsia" w:ascii="仿宋" w:hAnsi="仿宋" w:eastAsia="仿宋" w:cs="仿宋"/>
          <w:spacing w:val="20"/>
          <w:sz w:val="28"/>
          <w:szCs w:val="28"/>
          <w:highlight w:val="none"/>
        </w:rPr>
        <w:t>3.</w:t>
      </w:r>
      <w:r>
        <w:rPr>
          <w:rFonts w:hint="eastAsia" w:ascii="仿宋" w:hAnsi="仿宋" w:eastAsia="仿宋" w:cs="仿宋"/>
          <w:spacing w:val="20"/>
          <w:sz w:val="28"/>
          <w:szCs w:val="28"/>
          <w:highlight w:val="none"/>
          <w:lang w:val="zh-CN"/>
        </w:rPr>
        <w:t>业绩一览表</w:t>
      </w:r>
      <w:bookmarkEnd w:id="192"/>
      <w:bookmarkEnd w:id="193"/>
      <w:bookmarkEnd w:id="194"/>
    </w:p>
    <w:p>
      <w:pPr>
        <w:spacing w:line="320" w:lineRule="exact"/>
        <w:ind w:firstLine="435"/>
        <w:rPr>
          <w:rFonts w:hint="eastAsia" w:ascii="仿宋" w:hAnsi="仿宋" w:eastAsia="仿宋" w:cs="仿宋"/>
          <w:b/>
          <w:sz w:val="28"/>
          <w:szCs w:val="28"/>
          <w:highlight w:val="none"/>
        </w:rPr>
      </w:pPr>
    </w:p>
    <w:tbl>
      <w:tblPr>
        <w:tblStyle w:val="16"/>
        <w:tblW w:w="9251" w:type="dxa"/>
        <w:jc w:val="center"/>
        <w:tblBorders>
          <w:top w:val="double" w:color="auto" w:sz="6" w:space="0"/>
          <w:left w:val="double" w:color="auto" w:sz="6" w:space="0"/>
          <w:bottom w:val="double" w:color="auto" w:sz="6" w:space="0"/>
          <w:right w:val="single" w:color="auto" w:sz="6" w:space="0"/>
          <w:insideH w:val="none" w:color="auto" w:sz="0" w:space="0"/>
          <w:insideV w:val="none" w:color="auto" w:sz="0" w:space="0"/>
        </w:tblBorders>
        <w:tblLayout w:type="fixed"/>
        <w:tblCellMar>
          <w:top w:w="0" w:type="dxa"/>
          <w:left w:w="10" w:type="dxa"/>
          <w:bottom w:w="0" w:type="dxa"/>
          <w:right w:w="10" w:type="dxa"/>
        </w:tblCellMar>
      </w:tblPr>
      <w:tblGrid>
        <w:gridCol w:w="712"/>
        <w:gridCol w:w="2285"/>
        <w:gridCol w:w="1515"/>
        <w:gridCol w:w="2364"/>
        <w:gridCol w:w="2375"/>
      </w:tblGrid>
      <w:tr>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noWrap w:val="0"/>
            <w:vAlign w:val="center"/>
          </w:tcPr>
          <w:p>
            <w:pPr>
              <w:pStyle w:val="2"/>
              <w:tabs>
                <w:tab w:val="left" w:pos="8460"/>
                <w:tab w:val="left" w:pos="8640"/>
              </w:tabs>
              <w:spacing w:line="360" w:lineRule="auto"/>
              <w:ind w:right="25" w:rightChars="12"/>
              <w:jc w:val="center"/>
              <w:rPr>
                <w:rFonts w:hint="eastAsia" w:ascii="仿宋" w:hAnsi="仿宋" w:eastAsia="仿宋" w:cs="仿宋"/>
                <w:b w:val="0"/>
                <w:bCs w:val="0"/>
                <w:caps/>
                <w:sz w:val="24"/>
                <w:highlight w:val="none"/>
              </w:rPr>
            </w:pPr>
            <w:r>
              <w:rPr>
                <w:rFonts w:hint="eastAsia" w:ascii="仿宋" w:hAnsi="仿宋" w:eastAsia="仿宋" w:cs="仿宋"/>
                <w:b w:val="0"/>
                <w:bCs w:val="0"/>
                <w:sz w:val="24"/>
                <w:highlight w:val="none"/>
              </w:rPr>
              <w:t>序号</w:t>
            </w:r>
          </w:p>
        </w:tc>
        <w:tc>
          <w:tcPr>
            <w:tcW w:w="2285" w:type="dxa"/>
            <w:tcBorders>
              <w:top w:val="single" w:color="000000" w:sz="6" w:space="0"/>
              <w:left w:val="single" w:color="000000" w:sz="6" w:space="0"/>
              <w:bottom w:val="single" w:color="000000" w:sz="6" w:space="0"/>
              <w:right w:val="single" w:color="000000" w:sz="6" w:space="0"/>
            </w:tcBorders>
            <w:noWrap w:val="0"/>
            <w:vAlign w:val="center"/>
          </w:tcPr>
          <w:p>
            <w:pPr>
              <w:pStyle w:val="2"/>
              <w:tabs>
                <w:tab w:val="left" w:pos="8460"/>
                <w:tab w:val="left" w:pos="8640"/>
              </w:tabs>
              <w:spacing w:line="360" w:lineRule="auto"/>
              <w:ind w:right="25" w:rightChars="12"/>
              <w:jc w:val="center"/>
              <w:rPr>
                <w:rFonts w:hint="eastAsia" w:ascii="仿宋" w:hAnsi="仿宋" w:eastAsia="仿宋" w:cs="仿宋"/>
                <w:b w:val="0"/>
                <w:bCs w:val="0"/>
                <w:caps/>
                <w:sz w:val="24"/>
                <w:highlight w:val="none"/>
              </w:rPr>
            </w:pPr>
            <w:r>
              <w:rPr>
                <w:rFonts w:hint="eastAsia" w:ascii="仿宋" w:hAnsi="仿宋" w:eastAsia="仿宋" w:cs="仿宋"/>
                <w:b w:val="0"/>
                <w:bCs w:val="0"/>
                <w:sz w:val="24"/>
                <w:highlight w:val="none"/>
              </w:rPr>
              <w:t>项目名称</w:t>
            </w:r>
          </w:p>
        </w:tc>
        <w:tc>
          <w:tcPr>
            <w:tcW w:w="1515" w:type="dxa"/>
            <w:tcBorders>
              <w:top w:val="single" w:color="000000" w:sz="6" w:space="0"/>
              <w:left w:val="single" w:color="000000" w:sz="6" w:space="0"/>
              <w:bottom w:val="single" w:color="000000" w:sz="6" w:space="0"/>
              <w:right w:val="single" w:color="000000" w:sz="6" w:space="0"/>
            </w:tcBorders>
            <w:noWrap w:val="0"/>
            <w:vAlign w:val="center"/>
          </w:tcPr>
          <w:p>
            <w:pPr>
              <w:pStyle w:val="2"/>
              <w:tabs>
                <w:tab w:val="left" w:pos="8460"/>
                <w:tab w:val="left" w:pos="8640"/>
              </w:tabs>
              <w:spacing w:line="360" w:lineRule="auto"/>
              <w:ind w:right="25" w:rightChars="12"/>
              <w:jc w:val="center"/>
              <w:rPr>
                <w:rFonts w:hint="eastAsia" w:ascii="仿宋" w:hAnsi="仿宋" w:eastAsia="仿宋" w:cs="仿宋"/>
                <w:b w:val="0"/>
                <w:bCs w:val="0"/>
                <w:caps/>
                <w:sz w:val="24"/>
                <w:highlight w:val="none"/>
              </w:rPr>
            </w:pPr>
            <w:r>
              <w:rPr>
                <w:rFonts w:hint="eastAsia" w:ascii="仿宋" w:hAnsi="仿宋" w:eastAsia="仿宋" w:cs="仿宋"/>
                <w:b w:val="0"/>
                <w:bCs w:val="0"/>
                <w:sz w:val="24"/>
                <w:highlight w:val="none"/>
              </w:rPr>
              <w:t>业主单位</w:t>
            </w:r>
          </w:p>
        </w:tc>
        <w:tc>
          <w:tcPr>
            <w:tcW w:w="2364" w:type="dxa"/>
            <w:tcBorders>
              <w:top w:val="single" w:color="000000" w:sz="6" w:space="0"/>
              <w:left w:val="single" w:color="000000" w:sz="6" w:space="0"/>
              <w:bottom w:val="single" w:color="000000" w:sz="6" w:space="0"/>
              <w:right w:val="single" w:color="000000" w:sz="6" w:space="0"/>
            </w:tcBorders>
            <w:noWrap w:val="0"/>
            <w:vAlign w:val="center"/>
          </w:tcPr>
          <w:p>
            <w:pPr>
              <w:pStyle w:val="2"/>
              <w:tabs>
                <w:tab w:val="left" w:pos="8460"/>
                <w:tab w:val="left" w:pos="8640"/>
              </w:tabs>
              <w:spacing w:line="400" w:lineRule="exact"/>
              <w:ind w:right="25" w:rightChars="12"/>
              <w:jc w:val="center"/>
              <w:rPr>
                <w:rFonts w:hint="eastAsia" w:ascii="仿宋" w:hAnsi="仿宋" w:eastAsia="仿宋" w:cs="仿宋"/>
                <w:b w:val="0"/>
                <w:bCs w:val="0"/>
                <w:caps/>
                <w:sz w:val="24"/>
                <w:highlight w:val="none"/>
              </w:rPr>
            </w:pPr>
            <w:r>
              <w:rPr>
                <w:rFonts w:hint="eastAsia" w:ascii="仿宋" w:hAnsi="仿宋" w:eastAsia="仿宋" w:cs="仿宋"/>
                <w:b w:val="0"/>
                <w:bCs w:val="0"/>
                <w:sz w:val="24"/>
                <w:highlight w:val="none"/>
              </w:rPr>
              <w:t>合同签订时间及合同期限</w:t>
            </w:r>
          </w:p>
        </w:tc>
        <w:tc>
          <w:tcPr>
            <w:tcW w:w="2375" w:type="dxa"/>
            <w:tcBorders>
              <w:top w:val="single" w:color="000000" w:sz="6" w:space="0"/>
              <w:left w:val="single" w:color="000000" w:sz="6" w:space="0"/>
              <w:bottom w:val="single" w:color="000000" w:sz="6" w:space="0"/>
              <w:right w:val="single" w:color="000000" w:sz="6" w:space="0"/>
            </w:tcBorders>
            <w:noWrap w:val="0"/>
            <w:vAlign w:val="center"/>
          </w:tcPr>
          <w:p>
            <w:pPr>
              <w:pStyle w:val="2"/>
              <w:tabs>
                <w:tab w:val="left" w:pos="8460"/>
                <w:tab w:val="left" w:pos="8640"/>
              </w:tabs>
              <w:spacing w:line="360" w:lineRule="auto"/>
              <w:ind w:right="25" w:rightChars="12"/>
              <w:jc w:val="center"/>
              <w:rPr>
                <w:rFonts w:hint="eastAsia" w:ascii="仿宋" w:hAnsi="仿宋" w:eastAsia="仿宋" w:cs="仿宋"/>
                <w:b w:val="0"/>
                <w:bCs w:val="0"/>
                <w:caps/>
                <w:sz w:val="24"/>
                <w:highlight w:val="none"/>
              </w:rPr>
            </w:pPr>
            <w:r>
              <w:rPr>
                <w:rFonts w:hint="eastAsia" w:ascii="仿宋" w:hAnsi="仿宋" w:eastAsia="仿宋" w:cs="仿宋"/>
                <w:b w:val="0"/>
                <w:bCs w:val="0"/>
                <w:sz w:val="24"/>
                <w:highlight w:val="none"/>
              </w:rPr>
              <w:t>合同金额</w:t>
            </w:r>
          </w:p>
        </w:tc>
      </w:tr>
      <w:tr>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28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64"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7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r>
      <w:tr>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28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64"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7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r>
      <w:tr>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28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64"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7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r>
      <w:tr>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28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64"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7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r>
      <w:tr>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712"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28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64"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7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r>
      <w:tr>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28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64"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7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r>
      <w:tr>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28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64"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7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r>
      <w:tr>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28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64"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7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r>
      <w:tr>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28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64"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7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r>
      <w:tr>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28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64"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7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r>
      <w:tr>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28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64"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7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r>
      <w:tr>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61" w:hRule="atLeast"/>
          <w:jc w:val="center"/>
        </w:trPr>
        <w:tc>
          <w:tcPr>
            <w:tcW w:w="712"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28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64"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c>
          <w:tcPr>
            <w:tcW w:w="2375" w:type="dxa"/>
            <w:tcBorders>
              <w:top w:val="single" w:color="000000" w:sz="6" w:space="0"/>
              <w:left w:val="single" w:color="000000" w:sz="6" w:space="0"/>
              <w:bottom w:val="single" w:color="000000" w:sz="6" w:space="0"/>
              <w:right w:val="single" w:color="000000" w:sz="6" w:space="0"/>
            </w:tcBorders>
            <w:noWrap w:val="0"/>
            <w:vAlign w:val="top"/>
          </w:tcPr>
          <w:p>
            <w:pPr>
              <w:pStyle w:val="2"/>
              <w:tabs>
                <w:tab w:val="left" w:pos="8460"/>
                <w:tab w:val="left" w:pos="8640"/>
              </w:tabs>
              <w:spacing w:line="360" w:lineRule="auto"/>
              <w:ind w:right="25" w:rightChars="12"/>
              <w:jc w:val="center"/>
              <w:rPr>
                <w:rFonts w:hint="eastAsia" w:ascii="仿宋" w:hAnsi="仿宋" w:eastAsia="仿宋" w:cs="仿宋"/>
                <w:b w:val="0"/>
                <w:bCs w:val="0"/>
                <w:sz w:val="24"/>
                <w:highlight w:val="none"/>
              </w:rPr>
            </w:pPr>
          </w:p>
        </w:tc>
      </w:tr>
    </w:tbl>
    <w:p>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仿宋" w:hAnsi="仿宋" w:eastAsia="仿宋" w:cs="仿宋"/>
          <w:spacing w:val="20"/>
          <w:sz w:val="28"/>
          <w:szCs w:val="28"/>
          <w:highlight w:val="none"/>
        </w:rPr>
      </w:pPr>
    </w:p>
    <w:p>
      <w:pPr>
        <w:keepNext w:val="0"/>
        <w:keepLines w:val="0"/>
        <w:pageBreakBefore w:val="0"/>
        <w:widowControl w:val="0"/>
        <w:kinsoku/>
        <w:wordWrap/>
        <w:overflowPunct/>
        <w:topLinePunct w:val="0"/>
        <w:bidi w:val="0"/>
        <w:spacing w:line="360" w:lineRule="auto"/>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注：1.以上表格为格式表格投标人可自行增减行数，但不得改变填写项目</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相关证明材料</w:t>
      </w:r>
      <w:r>
        <w:rPr>
          <w:rFonts w:hint="eastAsia" w:ascii="仿宋" w:hAnsi="仿宋" w:eastAsia="仿宋" w:cs="仿宋"/>
          <w:sz w:val="24"/>
          <w:szCs w:val="24"/>
          <w:highlight w:val="none"/>
        </w:rPr>
        <w:t>加盖公章附后。</w:t>
      </w:r>
    </w:p>
    <w:p>
      <w:pPr>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sz w:val="24"/>
          <w:szCs w:val="24"/>
          <w:highlight w:val="none"/>
        </w:rPr>
      </w:pPr>
    </w:p>
    <w:p>
      <w:pPr>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法定代表人或其授权代表：</w:t>
      </w:r>
      <w:r>
        <w:rPr>
          <w:rFonts w:hint="eastAsia" w:ascii="仿宋" w:hAnsi="仿宋" w:eastAsia="仿宋" w:cs="仿宋"/>
          <w:sz w:val="24"/>
          <w:szCs w:val="24"/>
          <w:highlight w:val="none"/>
          <w:u w:val="single"/>
        </w:rPr>
        <w:t xml:space="preserve">       （签字或盖章）</w:t>
      </w:r>
    </w:p>
    <w:p>
      <w:pPr>
        <w:keepNext w:val="0"/>
        <w:keepLines w:val="0"/>
        <w:pageBreakBefore w:val="0"/>
        <w:widowControl w:val="0"/>
        <w:kinsoku/>
        <w:wordWrap/>
        <w:overflowPunct/>
        <w:topLinePunct w:val="0"/>
        <w:bidi w:val="0"/>
        <w:snapToGrid w:val="0"/>
        <w:spacing w:line="360" w:lineRule="auto"/>
        <w:ind w:right="-817" w:rightChars="-389"/>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投标人名称： </w:t>
      </w:r>
      <w:r>
        <w:rPr>
          <w:rFonts w:hint="eastAsia" w:ascii="仿宋" w:hAnsi="仿宋" w:eastAsia="仿宋" w:cs="仿宋"/>
          <w:sz w:val="24"/>
          <w:szCs w:val="24"/>
          <w:highlight w:val="none"/>
          <w:u w:val="single"/>
        </w:rPr>
        <w:t xml:space="preserve">                        （公章）</w:t>
      </w:r>
    </w:p>
    <w:p>
      <w:pPr>
        <w:keepNext w:val="0"/>
        <w:keepLines w:val="0"/>
        <w:pageBreakBefore w:val="0"/>
        <w:widowControl w:val="0"/>
        <w:kinsoku/>
        <w:wordWrap/>
        <w:overflowPunct/>
        <w:topLinePunct w:val="0"/>
        <w:bidi w:val="0"/>
        <w:snapToGrid w:val="0"/>
        <w:spacing w:line="360" w:lineRule="auto"/>
        <w:ind w:right="-817" w:rightChars="-389"/>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 xml:space="preserve">    年   月   日</w:t>
      </w:r>
    </w:p>
    <w:p>
      <w:pPr>
        <w:autoSpaceDE w:val="0"/>
        <w:autoSpaceDN w:val="0"/>
        <w:adjustRightInd w:val="0"/>
        <w:spacing w:line="320" w:lineRule="atLeast"/>
        <w:jc w:val="center"/>
        <w:outlineLvl w:val="2"/>
        <w:rPr>
          <w:rFonts w:hint="eastAsia" w:ascii="仿宋" w:hAnsi="仿宋" w:eastAsia="仿宋" w:cs="仿宋"/>
          <w:sz w:val="24"/>
          <w:szCs w:val="24"/>
          <w:highlight w:val="none"/>
        </w:rPr>
      </w:pPr>
      <w:bookmarkStart w:id="195" w:name="_Toc9222"/>
      <w:bookmarkStart w:id="196" w:name="_Toc7637"/>
      <w:bookmarkStart w:id="197" w:name="_Toc26227"/>
      <w:bookmarkStart w:id="198" w:name="_Toc30148"/>
      <w:r>
        <w:rPr>
          <w:rFonts w:hint="eastAsia" w:ascii="仿宋" w:hAnsi="仿宋" w:eastAsia="仿宋" w:cs="仿宋"/>
          <w:b/>
          <w:bCs/>
          <w:kern w:val="0"/>
          <w:sz w:val="28"/>
          <w:szCs w:val="28"/>
          <w:highlight w:val="none"/>
        </w:rPr>
        <w:br w:type="page"/>
      </w:r>
      <w:r>
        <w:rPr>
          <w:rFonts w:hint="eastAsia" w:ascii="仿宋" w:hAnsi="仿宋" w:eastAsia="仿宋" w:cs="仿宋"/>
          <w:spacing w:val="20"/>
          <w:kern w:val="2"/>
          <w:sz w:val="28"/>
          <w:szCs w:val="28"/>
          <w:highlight w:val="none"/>
        </w:rPr>
        <w:t>4.</w:t>
      </w:r>
      <w:r>
        <w:rPr>
          <w:rFonts w:hint="eastAsia" w:ascii="仿宋" w:hAnsi="仿宋" w:eastAsia="仿宋" w:cs="仿宋"/>
          <w:spacing w:val="20"/>
          <w:sz w:val="28"/>
          <w:szCs w:val="28"/>
          <w:highlight w:val="none"/>
        </w:rPr>
        <w:t>偏离表</w:t>
      </w:r>
      <w:bookmarkEnd w:id="195"/>
      <w:bookmarkEnd w:id="196"/>
      <w:bookmarkEnd w:id="197"/>
      <w:bookmarkEnd w:id="198"/>
    </w:p>
    <w:p>
      <w:pPr>
        <w:pStyle w:val="2"/>
        <w:rPr>
          <w:rFonts w:hint="eastAsia" w:ascii="仿宋" w:hAnsi="仿宋" w:eastAsia="仿宋" w:cs="仿宋"/>
          <w:sz w:val="24"/>
          <w:highlight w:val="none"/>
        </w:rPr>
      </w:pPr>
    </w:p>
    <w:p>
      <w:pPr>
        <w:pStyle w:val="2"/>
        <w:rPr>
          <w:rFonts w:hint="eastAsia" w:ascii="仿宋" w:hAnsi="仿宋" w:eastAsia="仿宋" w:cs="仿宋"/>
          <w:sz w:val="24"/>
          <w:highlight w:val="none"/>
          <w:u w:val="singl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p>
    <w:p>
      <w:pPr>
        <w:pStyle w:val="2"/>
        <w:rPr>
          <w:rFonts w:hint="eastAsia" w:ascii="仿宋" w:hAnsi="仿宋" w:eastAsia="仿宋" w:cs="仿宋"/>
          <w:sz w:val="24"/>
          <w:highlight w:val="none"/>
          <w:u w:val="single"/>
        </w:rPr>
      </w:pPr>
    </w:p>
    <w:tbl>
      <w:tblPr>
        <w:tblStyle w:val="16"/>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96"/>
        <w:gridCol w:w="1985"/>
        <w:gridCol w:w="1578"/>
        <w:gridCol w:w="144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0" w:type="dxa"/>
            <w:noWrap w:val="0"/>
            <w:vAlign w:val="center"/>
          </w:tcPr>
          <w:p>
            <w:pPr>
              <w:spacing w:line="5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2096" w:type="dxa"/>
            <w:noWrap w:val="0"/>
            <w:vAlign w:val="center"/>
          </w:tcPr>
          <w:p>
            <w:pPr>
              <w:spacing w:line="5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技术规范要求</w:t>
            </w:r>
          </w:p>
        </w:tc>
        <w:tc>
          <w:tcPr>
            <w:tcW w:w="1985" w:type="dxa"/>
            <w:noWrap w:val="0"/>
            <w:vAlign w:val="center"/>
          </w:tcPr>
          <w:p>
            <w:pPr>
              <w:spacing w:line="5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投标人响应详细内容</w:t>
            </w:r>
          </w:p>
        </w:tc>
        <w:tc>
          <w:tcPr>
            <w:tcW w:w="1578" w:type="dxa"/>
            <w:noWrap w:val="0"/>
            <w:vAlign w:val="center"/>
          </w:tcPr>
          <w:p>
            <w:pPr>
              <w:spacing w:line="5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偏离情况</w:t>
            </w:r>
          </w:p>
        </w:tc>
        <w:tc>
          <w:tcPr>
            <w:tcW w:w="1449" w:type="dxa"/>
            <w:noWrap w:val="0"/>
            <w:vAlign w:val="center"/>
          </w:tcPr>
          <w:p>
            <w:pPr>
              <w:spacing w:line="5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偏离说明</w:t>
            </w:r>
          </w:p>
        </w:tc>
        <w:tc>
          <w:tcPr>
            <w:tcW w:w="1418" w:type="dxa"/>
            <w:noWrap w:val="0"/>
            <w:vAlign w:val="top"/>
          </w:tcPr>
          <w:p>
            <w:pPr>
              <w:spacing w:line="5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noWrap w:val="0"/>
            <w:vAlign w:val="top"/>
          </w:tcPr>
          <w:p>
            <w:pPr>
              <w:spacing w:line="5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2096" w:type="dxa"/>
            <w:noWrap w:val="0"/>
            <w:vAlign w:val="top"/>
          </w:tcPr>
          <w:p>
            <w:pPr>
              <w:spacing w:line="500" w:lineRule="exact"/>
              <w:jc w:val="left"/>
              <w:rPr>
                <w:rFonts w:hint="eastAsia" w:ascii="仿宋" w:hAnsi="仿宋" w:eastAsia="仿宋" w:cs="仿宋"/>
                <w:color w:val="000000"/>
                <w:sz w:val="24"/>
                <w:szCs w:val="24"/>
                <w:highlight w:val="none"/>
              </w:rPr>
            </w:pPr>
          </w:p>
        </w:tc>
        <w:tc>
          <w:tcPr>
            <w:tcW w:w="1985" w:type="dxa"/>
            <w:noWrap w:val="0"/>
            <w:vAlign w:val="top"/>
          </w:tcPr>
          <w:p>
            <w:pPr>
              <w:spacing w:line="500" w:lineRule="exact"/>
              <w:jc w:val="left"/>
              <w:rPr>
                <w:rFonts w:hint="eastAsia" w:ascii="仿宋" w:hAnsi="仿宋" w:eastAsia="仿宋" w:cs="仿宋"/>
                <w:color w:val="000000"/>
                <w:sz w:val="24"/>
                <w:szCs w:val="24"/>
                <w:highlight w:val="none"/>
              </w:rPr>
            </w:pPr>
          </w:p>
        </w:tc>
        <w:tc>
          <w:tcPr>
            <w:tcW w:w="1578" w:type="dxa"/>
            <w:noWrap w:val="0"/>
            <w:vAlign w:val="top"/>
          </w:tcPr>
          <w:p>
            <w:pPr>
              <w:spacing w:line="500" w:lineRule="exact"/>
              <w:jc w:val="left"/>
              <w:rPr>
                <w:rFonts w:hint="eastAsia" w:ascii="仿宋" w:hAnsi="仿宋" w:eastAsia="仿宋" w:cs="仿宋"/>
                <w:color w:val="000000"/>
                <w:sz w:val="24"/>
                <w:szCs w:val="24"/>
                <w:highlight w:val="none"/>
              </w:rPr>
            </w:pPr>
          </w:p>
        </w:tc>
        <w:tc>
          <w:tcPr>
            <w:tcW w:w="1449" w:type="dxa"/>
            <w:noWrap w:val="0"/>
            <w:vAlign w:val="top"/>
          </w:tcPr>
          <w:p>
            <w:pPr>
              <w:spacing w:line="500" w:lineRule="exact"/>
              <w:jc w:val="left"/>
              <w:rPr>
                <w:rFonts w:hint="eastAsia" w:ascii="仿宋" w:hAnsi="仿宋" w:eastAsia="仿宋" w:cs="仿宋"/>
                <w:color w:val="000000"/>
                <w:sz w:val="24"/>
                <w:szCs w:val="24"/>
                <w:highlight w:val="none"/>
              </w:rPr>
            </w:pPr>
          </w:p>
        </w:tc>
        <w:tc>
          <w:tcPr>
            <w:tcW w:w="1418" w:type="dxa"/>
            <w:noWrap w:val="0"/>
            <w:vAlign w:val="top"/>
          </w:tcPr>
          <w:p>
            <w:pPr>
              <w:spacing w:line="500" w:lineRule="exact"/>
              <w:jc w:val="lef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noWrap w:val="0"/>
            <w:vAlign w:val="top"/>
          </w:tcPr>
          <w:p>
            <w:pPr>
              <w:spacing w:line="5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2096" w:type="dxa"/>
            <w:noWrap w:val="0"/>
            <w:vAlign w:val="top"/>
          </w:tcPr>
          <w:p>
            <w:pPr>
              <w:spacing w:line="500" w:lineRule="exact"/>
              <w:jc w:val="left"/>
              <w:rPr>
                <w:rFonts w:hint="eastAsia" w:ascii="仿宋" w:hAnsi="仿宋" w:eastAsia="仿宋" w:cs="仿宋"/>
                <w:color w:val="000000"/>
                <w:sz w:val="24"/>
                <w:szCs w:val="24"/>
                <w:highlight w:val="none"/>
              </w:rPr>
            </w:pPr>
          </w:p>
        </w:tc>
        <w:tc>
          <w:tcPr>
            <w:tcW w:w="1985" w:type="dxa"/>
            <w:noWrap w:val="0"/>
            <w:vAlign w:val="top"/>
          </w:tcPr>
          <w:p>
            <w:pPr>
              <w:spacing w:line="500" w:lineRule="exact"/>
              <w:jc w:val="left"/>
              <w:rPr>
                <w:rFonts w:hint="eastAsia" w:ascii="仿宋" w:hAnsi="仿宋" w:eastAsia="仿宋" w:cs="仿宋"/>
                <w:color w:val="000000"/>
                <w:sz w:val="24"/>
                <w:szCs w:val="24"/>
                <w:highlight w:val="none"/>
              </w:rPr>
            </w:pPr>
          </w:p>
        </w:tc>
        <w:tc>
          <w:tcPr>
            <w:tcW w:w="1578" w:type="dxa"/>
            <w:noWrap w:val="0"/>
            <w:vAlign w:val="top"/>
          </w:tcPr>
          <w:p>
            <w:pPr>
              <w:spacing w:line="500" w:lineRule="exact"/>
              <w:jc w:val="left"/>
              <w:rPr>
                <w:rFonts w:hint="eastAsia" w:ascii="仿宋" w:hAnsi="仿宋" w:eastAsia="仿宋" w:cs="仿宋"/>
                <w:color w:val="000000"/>
                <w:sz w:val="24"/>
                <w:szCs w:val="24"/>
                <w:highlight w:val="none"/>
              </w:rPr>
            </w:pPr>
          </w:p>
        </w:tc>
        <w:tc>
          <w:tcPr>
            <w:tcW w:w="1449" w:type="dxa"/>
            <w:noWrap w:val="0"/>
            <w:vAlign w:val="top"/>
          </w:tcPr>
          <w:p>
            <w:pPr>
              <w:spacing w:line="500" w:lineRule="exact"/>
              <w:jc w:val="left"/>
              <w:rPr>
                <w:rFonts w:hint="eastAsia" w:ascii="仿宋" w:hAnsi="仿宋" w:eastAsia="仿宋" w:cs="仿宋"/>
                <w:color w:val="000000"/>
                <w:sz w:val="24"/>
                <w:szCs w:val="24"/>
                <w:highlight w:val="none"/>
              </w:rPr>
            </w:pPr>
          </w:p>
        </w:tc>
        <w:tc>
          <w:tcPr>
            <w:tcW w:w="1418" w:type="dxa"/>
            <w:noWrap w:val="0"/>
            <w:vAlign w:val="top"/>
          </w:tcPr>
          <w:p>
            <w:pPr>
              <w:spacing w:line="500" w:lineRule="exact"/>
              <w:jc w:val="lef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noWrap w:val="0"/>
            <w:vAlign w:val="top"/>
          </w:tcPr>
          <w:p>
            <w:pPr>
              <w:spacing w:line="5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2096" w:type="dxa"/>
            <w:noWrap w:val="0"/>
            <w:vAlign w:val="top"/>
          </w:tcPr>
          <w:p>
            <w:pPr>
              <w:spacing w:line="500" w:lineRule="exact"/>
              <w:jc w:val="left"/>
              <w:rPr>
                <w:rFonts w:hint="eastAsia" w:ascii="仿宋" w:hAnsi="仿宋" w:eastAsia="仿宋" w:cs="仿宋"/>
                <w:color w:val="000000"/>
                <w:sz w:val="24"/>
                <w:szCs w:val="24"/>
                <w:highlight w:val="none"/>
              </w:rPr>
            </w:pPr>
          </w:p>
        </w:tc>
        <w:tc>
          <w:tcPr>
            <w:tcW w:w="1985" w:type="dxa"/>
            <w:noWrap w:val="0"/>
            <w:vAlign w:val="top"/>
          </w:tcPr>
          <w:p>
            <w:pPr>
              <w:spacing w:line="500" w:lineRule="exact"/>
              <w:jc w:val="left"/>
              <w:rPr>
                <w:rFonts w:hint="eastAsia" w:ascii="仿宋" w:hAnsi="仿宋" w:eastAsia="仿宋" w:cs="仿宋"/>
                <w:color w:val="000000"/>
                <w:sz w:val="24"/>
                <w:szCs w:val="24"/>
                <w:highlight w:val="none"/>
              </w:rPr>
            </w:pPr>
          </w:p>
        </w:tc>
        <w:tc>
          <w:tcPr>
            <w:tcW w:w="1578" w:type="dxa"/>
            <w:noWrap w:val="0"/>
            <w:vAlign w:val="top"/>
          </w:tcPr>
          <w:p>
            <w:pPr>
              <w:spacing w:line="500" w:lineRule="exact"/>
              <w:jc w:val="left"/>
              <w:rPr>
                <w:rFonts w:hint="eastAsia" w:ascii="仿宋" w:hAnsi="仿宋" w:eastAsia="仿宋" w:cs="仿宋"/>
                <w:color w:val="000000"/>
                <w:sz w:val="24"/>
                <w:szCs w:val="24"/>
                <w:highlight w:val="none"/>
              </w:rPr>
            </w:pPr>
          </w:p>
        </w:tc>
        <w:tc>
          <w:tcPr>
            <w:tcW w:w="1449" w:type="dxa"/>
            <w:noWrap w:val="0"/>
            <w:vAlign w:val="top"/>
          </w:tcPr>
          <w:p>
            <w:pPr>
              <w:spacing w:line="500" w:lineRule="exact"/>
              <w:jc w:val="left"/>
              <w:rPr>
                <w:rFonts w:hint="eastAsia" w:ascii="仿宋" w:hAnsi="仿宋" w:eastAsia="仿宋" w:cs="仿宋"/>
                <w:color w:val="000000"/>
                <w:sz w:val="24"/>
                <w:szCs w:val="24"/>
                <w:highlight w:val="none"/>
              </w:rPr>
            </w:pPr>
          </w:p>
        </w:tc>
        <w:tc>
          <w:tcPr>
            <w:tcW w:w="1418" w:type="dxa"/>
            <w:noWrap w:val="0"/>
            <w:vAlign w:val="top"/>
          </w:tcPr>
          <w:p>
            <w:pPr>
              <w:spacing w:line="500" w:lineRule="exact"/>
              <w:jc w:val="lef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noWrap w:val="0"/>
            <w:vAlign w:val="top"/>
          </w:tcPr>
          <w:p>
            <w:pPr>
              <w:spacing w:line="5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p>
        </w:tc>
        <w:tc>
          <w:tcPr>
            <w:tcW w:w="2096" w:type="dxa"/>
            <w:noWrap w:val="0"/>
            <w:vAlign w:val="top"/>
          </w:tcPr>
          <w:p>
            <w:pPr>
              <w:spacing w:line="500" w:lineRule="exact"/>
              <w:jc w:val="left"/>
              <w:rPr>
                <w:rFonts w:hint="eastAsia" w:ascii="仿宋" w:hAnsi="仿宋" w:eastAsia="仿宋" w:cs="仿宋"/>
                <w:color w:val="000000"/>
                <w:sz w:val="24"/>
                <w:szCs w:val="24"/>
                <w:highlight w:val="none"/>
              </w:rPr>
            </w:pPr>
          </w:p>
        </w:tc>
        <w:tc>
          <w:tcPr>
            <w:tcW w:w="1985" w:type="dxa"/>
            <w:noWrap w:val="0"/>
            <w:vAlign w:val="top"/>
          </w:tcPr>
          <w:p>
            <w:pPr>
              <w:spacing w:line="500" w:lineRule="exact"/>
              <w:jc w:val="left"/>
              <w:rPr>
                <w:rFonts w:hint="eastAsia" w:ascii="仿宋" w:hAnsi="仿宋" w:eastAsia="仿宋" w:cs="仿宋"/>
                <w:color w:val="000000"/>
                <w:sz w:val="24"/>
                <w:szCs w:val="24"/>
                <w:highlight w:val="none"/>
              </w:rPr>
            </w:pPr>
          </w:p>
        </w:tc>
        <w:tc>
          <w:tcPr>
            <w:tcW w:w="1578" w:type="dxa"/>
            <w:noWrap w:val="0"/>
            <w:vAlign w:val="top"/>
          </w:tcPr>
          <w:p>
            <w:pPr>
              <w:spacing w:line="500" w:lineRule="exact"/>
              <w:jc w:val="left"/>
              <w:rPr>
                <w:rFonts w:hint="eastAsia" w:ascii="仿宋" w:hAnsi="仿宋" w:eastAsia="仿宋" w:cs="仿宋"/>
                <w:color w:val="000000"/>
                <w:sz w:val="24"/>
                <w:szCs w:val="24"/>
                <w:highlight w:val="none"/>
              </w:rPr>
            </w:pPr>
          </w:p>
        </w:tc>
        <w:tc>
          <w:tcPr>
            <w:tcW w:w="1449" w:type="dxa"/>
            <w:noWrap w:val="0"/>
            <w:vAlign w:val="top"/>
          </w:tcPr>
          <w:p>
            <w:pPr>
              <w:spacing w:line="500" w:lineRule="exact"/>
              <w:jc w:val="left"/>
              <w:rPr>
                <w:rFonts w:hint="eastAsia" w:ascii="仿宋" w:hAnsi="仿宋" w:eastAsia="仿宋" w:cs="仿宋"/>
                <w:color w:val="000000"/>
                <w:sz w:val="24"/>
                <w:szCs w:val="24"/>
                <w:highlight w:val="none"/>
              </w:rPr>
            </w:pPr>
          </w:p>
        </w:tc>
        <w:tc>
          <w:tcPr>
            <w:tcW w:w="1418" w:type="dxa"/>
            <w:noWrap w:val="0"/>
            <w:vAlign w:val="top"/>
          </w:tcPr>
          <w:p>
            <w:pPr>
              <w:spacing w:line="500" w:lineRule="exact"/>
              <w:jc w:val="lef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noWrap w:val="0"/>
            <w:vAlign w:val="top"/>
          </w:tcPr>
          <w:p>
            <w:pPr>
              <w:spacing w:line="500" w:lineRule="exact"/>
              <w:jc w:val="center"/>
              <w:rPr>
                <w:rFonts w:hint="eastAsia" w:ascii="仿宋" w:hAnsi="仿宋" w:eastAsia="仿宋" w:cs="仿宋"/>
                <w:color w:val="000000"/>
                <w:sz w:val="24"/>
                <w:szCs w:val="24"/>
                <w:highlight w:val="none"/>
              </w:rPr>
            </w:pPr>
          </w:p>
        </w:tc>
        <w:tc>
          <w:tcPr>
            <w:tcW w:w="2096" w:type="dxa"/>
            <w:noWrap w:val="0"/>
            <w:vAlign w:val="top"/>
          </w:tcPr>
          <w:p>
            <w:pPr>
              <w:spacing w:line="500" w:lineRule="exact"/>
              <w:jc w:val="left"/>
              <w:rPr>
                <w:rFonts w:hint="eastAsia" w:ascii="仿宋" w:hAnsi="仿宋" w:eastAsia="仿宋" w:cs="仿宋"/>
                <w:color w:val="000000"/>
                <w:sz w:val="24"/>
                <w:szCs w:val="24"/>
                <w:highlight w:val="none"/>
              </w:rPr>
            </w:pPr>
          </w:p>
        </w:tc>
        <w:tc>
          <w:tcPr>
            <w:tcW w:w="1985" w:type="dxa"/>
            <w:noWrap w:val="0"/>
            <w:vAlign w:val="top"/>
          </w:tcPr>
          <w:p>
            <w:pPr>
              <w:spacing w:line="500" w:lineRule="exact"/>
              <w:jc w:val="left"/>
              <w:rPr>
                <w:rFonts w:hint="eastAsia" w:ascii="仿宋" w:hAnsi="仿宋" w:eastAsia="仿宋" w:cs="仿宋"/>
                <w:color w:val="000000"/>
                <w:sz w:val="24"/>
                <w:szCs w:val="24"/>
                <w:highlight w:val="none"/>
              </w:rPr>
            </w:pPr>
          </w:p>
        </w:tc>
        <w:tc>
          <w:tcPr>
            <w:tcW w:w="1578" w:type="dxa"/>
            <w:noWrap w:val="0"/>
            <w:vAlign w:val="top"/>
          </w:tcPr>
          <w:p>
            <w:pPr>
              <w:spacing w:line="500" w:lineRule="exact"/>
              <w:jc w:val="left"/>
              <w:rPr>
                <w:rFonts w:hint="eastAsia" w:ascii="仿宋" w:hAnsi="仿宋" w:eastAsia="仿宋" w:cs="仿宋"/>
                <w:color w:val="000000"/>
                <w:sz w:val="24"/>
                <w:szCs w:val="24"/>
                <w:highlight w:val="none"/>
              </w:rPr>
            </w:pPr>
          </w:p>
        </w:tc>
        <w:tc>
          <w:tcPr>
            <w:tcW w:w="1449" w:type="dxa"/>
            <w:noWrap w:val="0"/>
            <w:vAlign w:val="top"/>
          </w:tcPr>
          <w:p>
            <w:pPr>
              <w:spacing w:line="500" w:lineRule="exact"/>
              <w:jc w:val="left"/>
              <w:rPr>
                <w:rFonts w:hint="eastAsia" w:ascii="仿宋" w:hAnsi="仿宋" w:eastAsia="仿宋" w:cs="仿宋"/>
                <w:color w:val="000000"/>
                <w:sz w:val="24"/>
                <w:szCs w:val="24"/>
                <w:highlight w:val="none"/>
              </w:rPr>
            </w:pPr>
          </w:p>
        </w:tc>
        <w:tc>
          <w:tcPr>
            <w:tcW w:w="1418" w:type="dxa"/>
            <w:noWrap w:val="0"/>
            <w:vAlign w:val="top"/>
          </w:tcPr>
          <w:p>
            <w:pPr>
              <w:spacing w:line="500" w:lineRule="exact"/>
              <w:jc w:val="lef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noWrap w:val="0"/>
            <w:vAlign w:val="top"/>
          </w:tcPr>
          <w:p>
            <w:pPr>
              <w:spacing w:line="500" w:lineRule="exact"/>
              <w:jc w:val="center"/>
              <w:rPr>
                <w:rFonts w:hint="eastAsia" w:ascii="仿宋" w:hAnsi="仿宋" w:eastAsia="仿宋" w:cs="仿宋"/>
                <w:color w:val="000000"/>
                <w:sz w:val="24"/>
                <w:szCs w:val="24"/>
                <w:highlight w:val="none"/>
              </w:rPr>
            </w:pPr>
          </w:p>
        </w:tc>
        <w:tc>
          <w:tcPr>
            <w:tcW w:w="2096" w:type="dxa"/>
            <w:noWrap w:val="0"/>
            <w:vAlign w:val="top"/>
          </w:tcPr>
          <w:p>
            <w:pPr>
              <w:spacing w:line="500" w:lineRule="exact"/>
              <w:jc w:val="left"/>
              <w:rPr>
                <w:rFonts w:hint="eastAsia" w:ascii="仿宋" w:hAnsi="仿宋" w:eastAsia="仿宋" w:cs="仿宋"/>
                <w:color w:val="000000"/>
                <w:sz w:val="24"/>
                <w:szCs w:val="24"/>
                <w:highlight w:val="none"/>
              </w:rPr>
            </w:pPr>
          </w:p>
        </w:tc>
        <w:tc>
          <w:tcPr>
            <w:tcW w:w="1985" w:type="dxa"/>
            <w:noWrap w:val="0"/>
            <w:vAlign w:val="top"/>
          </w:tcPr>
          <w:p>
            <w:pPr>
              <w:spacing w:line="500" w:lineRule="exact"/>
              <w:jc w:val="left"/>
              <w:rPr>
                <w:rFonts w:hint="eastAsia" w:ascii="仿宋" w:hAnsi="仿宋" w:eastAsia="仿宋" w:cs="仿宋"/>
                <w:color w:val="000000"/>
                <w:sz w:val="24"/>
                <w:szCs w:val="24"/>
                <w:highlight w:val="none"/>
              </w:rPr>
            </w:pPr>
          </w:p>
        </w:tc>
        <w:tc>
          <w:tcPr>
            <w:tcW w:w="1578" w:type="dxa"/>
            <w:noWrap w:val="0"/>
            <w:vAlign w:val="top"/>
          </w:tcPr>
          <w:p>
            <w:pPr>
              <w:spacing w:line="500" w:lineRule="exact"/>
              <w:jc w:val="left"/>
              <w:rPr>
                <w:rFonts w:hint="eastAsia" w:ascii="仿宋" w:hAnsi="仿宋" w:eastAsia="仿宋" w:cs="仿宋"/>
                <w:color w:val="000000"/>
                <w:sz w:val="24"/>
                <w:szCs w:val="24"/>
                <w:highlight w:val="none"/>
              </w:rPr>
            </w:pPr>
          </w:p>
        </w:tc>
        <w:tc>
          <w:tcPr>
            <w:tcW w:w="1449" w:type="dxa"/>
            <w:noWrap w:val="0"/>
            <w:vAlign w:val="top"/>
          </w:tcPr>
          <w:p>
            <w:pPr>
              <w:spacing w:line="500" w:lineRule="exact"/>
              <w:jc w:val="left"/>
              <w:rPr>
                <w:rFonts w:hint="eastAsia" w:ascii="仿宋" w:hAnsi="仿宋" w:eastAsia="仿宋" w:cs="仿宋"/>
                <w:color w:val="000000"/>
                <w:sz w:val="24"/>
                <w:szCs w:val="24"/>
                <w:highlight w:val="none"/>
              </w:rPr>
            </w:pPr>
          </w:p>
        </w:tc>
        <w:tc>
          <w:tcPr>
            <w:tcW w:w="1418" w:type="dxa"/>
            <w:noWrap w:val="0"/>
            <w:vAlign w:val="top"/>
          </w:tcPr>
          <w:p>
            <w:pPr>
              <w:spacing w:line="500" w:lineRule="exact"/>
              <w:jc w:val="lef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noWrap w:val="0"/>
            <w:vAlign w:val="top"/>
          </w:tcPr>
          <w:p>
            <w:pPr>
              <w:spacing w:line="500" w:lineRule="exact"/>
              <w:jc w:val="center"/>
              <w:rPr>
                <w:rFonts w:hint="eastAsia" w:ascii="仿宋" w:hAnsi="仿宋" w:eastAsia="仿宋" w:cs="仿宋"/>
                <w:color w:val="000000"/>
                <w:sz w:val="24"/>
                <w:szCs w:val="24"/>
                <w:highlight w:val="none"/>
              </w:rPr>
            </w:pPr>
          </w:p>
        </w:tc>
        <w:tc>
          <w:tcPr>
            <w:tcW w:w="2096" w:type="dxa"/>
            <w:noWrap w:val="0"/>
            <w:vAlign w:val="top"/>
          </w:tcPr>
          <w:p>
            <w:pPr>
              <w:spacing w:line="500" w:lineRule="exact"/>
              <w:jc w:val="left"/>
              <w:rPr>
                <w:rFonts w:hint="eastAsia" w:ascii="仿宋" w:hAnsi="仿宋" w:eastAsia="仿宋" w:cs="仿宋"/>
                <w:color w:val="000000"/>
                <w:sz w:val="24"/>
                <w:szCs w:val="24"/>
                <w:highlight w:val="none"/>
              </w:rPr>
            </w:pPr>
          </w:p>
        </w:tc>
        <w:tc>
          <w:tcPr>
            <w:tcW w:w="1985" w:type="dxa"/>
            <w:noWrap w:val="0"/>
            <w:vAlign w:val="top"/>
          </w:tcPr>
          <w:p>
            <w:pPr>
              <w:spacing w:line="500" w:lineRule="exact"/>
              <w:jc w:val="left"/>
              <w:rPr>
                <w:rFonts w:hint="eastAsia" w:ascii="仿宋" w:hAnsi="仿宋" w:eastAsia="仿宋" w:cs="仿宋"/>
                <w:color w:val="000000"/>
                <w:sz w:val="24"/>
                <w:szCs w:val="24"/>
                <w:highlight w:val="none"/>
              </w:rPr>
            </w:pPr>
          </w:p>
        </w:tc>
        <w:tc>
          <w:tcPr>
            <w:tcW w:w="1578" w:type="dxa"/>
            <w:noWrap w:val="0"/>
            <w:vAlign w:val="top"/>
          </w:tcPr>
          <w:p>
            <w:pPr>
              <w:spacing w:line="500" w:lineRule="exact"/>
              <w:jc w:val="left"/>
              <w:rPr>
                <w:rFonts w:hint="eastAsia" w:ascii="仿宋" w:hAnsi="仿宋" w:eastAsia="仿宋" w:cs="仿宋"/>
                <w:color w:val="000000"/>
                <w:sz w:val="24"/>
                <w:szCs w:val="24"/>
                <w:highlight w:val="none"/>
              </w:rPr>
            </w:pPr>
          </w:p>
        </w:tc>
        <w:tc>
          <w:tcPr>
            <w:tcW w:w="1449" w:type="dxa"/>
            <w:noWrap w:val="0"/>
            <w:vAlign w:val="top"/>
          </w:tcPr>
          <w:p>
            <w:pPr>
              <w:spacing w:line="500" w:lineRule="exact"/>
              <w:jc w:val="left"/>
              <w:rPr>
                <w:rFonts w:hint="eastAsia" w:ascii="仿宋" w:hAnsi="仿宋" w:eastAsia="仿宋" w:cs="仿宋"/>
                <w:color w:val="000000"/>
                <w:sz w:val="24"/>
                <w:szCs w:val="24"/>
                <w:highlight w:val="none"/>
              </w:rPr>
            </w:pPr>
          </w:p>
        </w:tc>
        <w:tc>
          <w:tcPr>
            <w:tcW w:w="1418" w:type="dxa"/>
            <w:noWrap w:val="0"/>
            <w:vAlign w:val="top"/>
          </w:tcPr>
          <w:p>
            <w:pPr>
              <w:spacing w:line="500" w:lineRule="exact"/>
              <w:jc w:val="lef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noWrap w:val="0"/>
            <w:vAlign w:val="top"/>
          </w:tcPr>
          <w:p>
            <w:pPr>
              <w:spacing w:line="500" w:lineRule="exact"/>
              <w:jc w:val="center"/>
              <w:rPr>
                <w:rFonts w:hint="eastAsia" w:ascii="仿宋" w:hAnsi="仿宋" w:eastAsia="仿宋" w:cs="仿宋"/>
                <w:color w:val="000000"/>
                <w:sz w:val="24"/>
                <w:szCs w:val="24"/>
                <w:highlight w:val="none"/>
              </w:rPr>
            </w:pPr>
          </w:p>
        </w:tc>
        <w:tc>
          <w:tcPr>
            <w:tcW w:w="2096" w:type="dxa"/>
            <w:noWrap w:val="0"/>
            <w:vAlign w:val="top"/>
          </w:tcPr>
          <w:p>
            <w:pPr>
              <w:spacing w:line="500" w:lineRule="exact"/>
              <w:jc w:val="left"/>
              <w:rPr>
                <w:rFonts w:hint="eastAsia" w:ascii="仿宋" w:hAnsi="仿宋" w:eastAsia="仿宋" w:cs="仿宋"/>
                <w:color w:val="000000"/>
                <w:sz w:val="24"/>
                <w:szCs w:val="24"/>
                <w:highlight w:val="none"/>
              </w:rPr>
            </w:pPr>
          </w:p>
        </w:tc>
        <w:tc>
          <w:tcPr>
            <w:tcW w:w="1985" w:type="dxa"/>
            <w:noWrap w:val="0"/>
            <w:vAlign w:val="top"/>
          </w:tcPr>
          <w:p>
            <w:pPr>
              <w:spacing w:line="500" w:lineRule="exact"/>
              <w:jc w:val="left"/>
              <w:rPr>
                <w:rFonts w:hint="eastAsia" w:ascii="仿宋" w:hAnsi="仿宋" w:eastAsia="仿宋" w:cs="仿宋"/>
                <w:color w:val="000000"/>
                <w:sz w:val="24"/>
                <w:szCs w:val="24"/>
                <w:highlight w:val="none"/>
              </w:rPr>
            </w:pPr>
          </w:p>
        </w:tc>
        <w:tc>
          <w:tcPr>
            <w:tcW w:w="1578" w:type="dxa"/>
            <w:noWrap w:val="0"/>
            <w:vAlign w:val="top"/>
          </w:tcPr>
          <w:p>
            <w:pPr>
              <w:spacing w:line="500" w:lineRule="exact"/>
              <w:jc w:val="left"/>
              <w:rPr>
                <w:rFonts w:hint="eastAsia" w:ascii="仿宋" w:hAnsi="仿宋" w:eastAsia="仿宋" w:cs="仿宋"/>
                <w:color w:val="000000"/>
                <w:sz w:val="24"/>
                <w:szCs w:val="24"/>
                <w:highlight w:val="none"/>
              </w:rPr>
            </w:pPr>
          </w:p>
        </w:tc>
        <w:tc>
          <w:tcPr>
            <w:tcW w:w="1449" w:type="dxa"/>
            <w:noWrap w:val="0"/>
            <w:vAlign w:val="top"/>
          </w:tcPr>
          <w:p>
            <w:pPr>
              <w:spacing w:line="500" w:lineRule="exact"/>
              <w:jc w:val="left"/>
              <w:rPr>
                <w:rFonts w:hint="eastAsia" w:ascii="仿宋" w:hAnsi="仿宋" w:eastAsia="仿宋" w:cs="仿宋"/>
                <w:color w:val="000000"/>
                <w:sz w:val="24"/>
                <w:szCs w:val="24"/>
                <w:highlight w:val="none"/>
              </w:rPr>
            </w:pPr>
          </w:p>
        </w:tc>
        <w:tc>
          <w:tcPr>
            <w:tcW w:w="1418" w:type="dxa"/>
            <w:noWrap w:val="0"/>
            <w:vAlign w:val="top"/>
          </w:tcPr>
          <w:p>
            <w:pPr>
              <w:spacing w:line="500" w:lineRule="exact"/>
              <w:jc w:val="lef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noWrap w:val="0"/>
            <w:vAlign w:val="top"/>
          </w:tcPr>
          <w:p>
            <w:pPr>
              <w:spacing w:line="500" w:lineRule="exact"/>
              <w:jc w:val="center"/>
              <w:rPr>
                <w:rFonts w:hint="eastAsia" w:ascii="仿宋" w:hAnsi="仿宋" w:eastAsia="仿宋" w:cs="仿宋"/>
                <w:color w:val="000000"/>
                <w:sz w:val="24"/>
                <w:szCs w:val="24"/>
                <w:highlight w:val="none"/>
              </w:rPr>
            </w:pPr>
          </w:p>
        </w:tc>
        <w:tc>
          <w:tcPr>
            <w:tcW w:w="2096" w:type="dxa"/>
            <w:noWrap w:val="0"/>
            <w:vAlign w:val="top"/>
          </w:tcPr>
          <w:p>
            <w:pPr>
              <w:spacing w:line="500" w:lineRule="exact"/>
              <w:jc w:val="left"/>
              <w:rPr>
                <w:rFonts w:hint="eastAsia" w:ascii="仿宋" w:hAnsi="仿宋" w:eastAsia="仿宋" w:cs="仿宋"/>
                <w:color w:val="000000"/>
                <w:sz w:val="24"/>
                <w:szCs w:val="24"/>
                <w:highlight w:val="none"/>
              </w:rPr>
            </w:pPr>
          </w:p>
        </w:tc>
        <w:tc>
          <w:tcPr>
            <w:tcW w:w="1985" w:type="dxa"/>
            <w:noWrap w:val="0"/>
            <w:vAlign w:val="top"/>
          </w:tcPr>
          <w:p>
            <w:pPr>
              <w:spacing w:line="500" w:lineRule="exact"/>
              <w:jc w:val="left"/>
              <w:rPr>
                <w:rFonts w:hint="eastAsia" w:ascii="仿宋" w:hAnsi="仿宋" w:eastAsia="仿宋" w:cs="仿宋"/>
                <w:color w:val="000000"/>
                <w:sz w:val="24"/>
                <w:szCs w:val="24"/>
                <w:highlight w:val="none"/>
              </w:rPr>
            </w:pPr>
          </w:p>
        </w:tc>
        <w:tc>
          <w:tcPr>
            <w:tcW w:w="1578" w:type="dxa"/>
            <w:noWrap w:val="0"/>
            <w:vAlign w:val="top"/>
          </w:tcPr>
          <w:p>
            <w:pPr>
              <w:spacing w:line="500" w:lineRule="exact"/>
              <w:jc w:val="left"/>
              <w:rPr>
                <w:rFonts w:hint="eastAsia" w:ascii="仿宋" w:hAnsi="仿宋" w:eastAsia="仿宋" w:cs="仿宋"/>
                <w:color w:val="000000"/>
                <w:sz w:val="24"/>
                <w:szCs w:val="24"/>
                <w:highlight w:val="none"/>
              </w:rPr>
            </w:pPr>
          </w:p>
        </w:tc>
        <w:tc>
          <w:tcPr>
            <w:tcW w:w="1449" w:type="dxa"/>
            <w:noWrap w:val="0"/>
            <w:vAlign w:val="top"/>
          </w:tcPr>
          <w:p>
            <w:pPr>
              <w:spacing w:line="500" w:lineRule="exact"/>
              <w:jc w:val="left"/>
              <w:rPr>
                <w:rFonts w:hint="eastAsia" w:ascii="仿宋" w:hAnsi="仿宋" w:eastAsia="仿宋" w:cs="仿宋"/>
                <w:color w:val="000000"/>
                <w:sz w:val="24"/>
                <w:szCs w:val="24"/>
                <w:highlight w:val="none"/>
              </w:rPr>
            </w:pPr>
          </w:p>
        </w:tc>
        <w:tc>
          <w:tcPr>
            <w:tcW w:w="1418" w:type="dxa"/>
            <w:noWrap w:val="0"/>
            <w:vAlign w:val="top"/>
          </w:tcPr>
          <w:p>
            <w:pPr>
              <w:spacing w:line="500" w:lineRule="exact"/>
              <w:jc w:val="lef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noWrap w:val="0"/>
            <w:vAlign w:val="top"/>
          </w:tcPr>
          <w:p>
            <w:pPr>
              <w:spacing w:line="500" w:lineRule="exact"/>
              <w:jc w:val="center"/>
              <w:rPr>
                <w:rFonts w:hint="eastAsia" w:ascii="仿宋" w:hAnsi="仿宋" w:eastAsia="仿宋" w:cs="仿宋"/>
                <w:color w:val="000000"/>
                <w:sz w:val="24"/>
                <w:szCs w:val="24"/>
                <w:highlight w:val="none"/>
              </w:rPr>
            </w:pPr>
          </w:p>
        </w:tc>
        <w:tc>
          <w:tcPr>
            <w:tcW w:w="2096" w:type="dxa"/>
            <w:noWrap w:val="0"/>
            <w:vAlign w:val="top"/>
          </w:tcPr>
          <w:p>
            <w:pPr>
              <w:spacing w:line="500" w:lineRule="exact"/>
              <w:jc w:val="left"/>
              <w:rPr>
                <w:rFonts w:hint="eastAsia" w:ascii="仿宋" w:hAnsi="仿宋" w:eastAsia="仿宋" w:cs="仿宋"/>
                <w:color w:val="000000"/>
                <w:sz w:val="24"/>
                <w:szCs w:val="24"/>
                <w:highlight w:val="none"/>
              </w:rPr>
            </w:pPr>
          </w:p>
        </w:tc>
        <w:tc>
          <w:tcPr>
            <w:tcW w:w="1985" w:type="dxa"/>
            <w:noWrap w:val="0"/>
            <w:vAlign w:val="top"/>
          </w:tcPr>
          <w:p>
            <w:pPr>
              <w:spacing w:line="500" w:lineRule="exact"/>
              <w:jc w:val="left"/>
              <w:rPr>
                <w:rFonts w:hint="eastAsia" w:ascii="仿宋" w:hAnsi="仿宋" w:eastAsia="仿宋" w:cs="仿宋"/>
                <w:color w:val="000000"/>
                <w:sz w:val="24"/>
                <w:szCs w:val="24"/>
                <w:highlight w:val="none"/>
              </w:rPr>
            </w:pPr>
          </w:p>
        </w:tc>
        <w:tc>
          <w:tcPr>
            <w:tcW w:w="1578" w:type="dxa"/>
            <w:noWrap w:val="0"/>
            <w:vAlign w:val="top"/>
          </w:tcPr>
          <w:p>
            <w:pPr>
              <w:spacing w:line="500" w:lineRule="exact"/>
              <w:jc w:val="left"/>
              <w:rPr>
                <w:rFonts w:hint="eastAsia" w:ascii="仿宋" w:hAnsi="仿宋" w:eastAsia="仿宋" w:cs="仿宋"/>
                <w:color w:val="000000"/>
                <w:sz w:val="24"/>
                <w:szCs w:val="24"/>
                <w:highlight w:val="none"/>
              </w:rPr>
            </w:pPr>
          </w:p>
        </w:tc>
        <w:tc>
          <w:tcPr>
            <w:tcW w:w="1449" w:type="dxa"/>
            <w:noWrap w:val="0"/>
            <w:vAlign w:val="top"/>
          </w:tcPr>
          <w:p>
            <w:pPr>
              <w:spacing w:line="500" w:lineRule="exact"/>
              <w:jc w:val="left"/>
              <w:rPr>
                <w:rFonts w:hint="eastAsia" w:ascii="仿宋" w:hAnsi="仿宋" w:eastAsia="仿宋" w:cs="仿宋"/>
                <w:color w:val="000000"/>
                <w:sz w:val="24"/>
                <w:szCs w:val="24"/>
                <w:highlight w:val="none"/>
              </w:rPr>
            </w:pPr>
          </w:p>
        </w:tc>
        <w:tc>
          <w:tcPr>
            <w:tcW w:w="1418" w:type="dxa"/>
            <w:noWrap w:val="0"/>
            <w:vAlign w:val="top"/>
          </w:tcPr>
          <w:p>
            <w:pPr>
              <w:spacing w:line="500" w:lineRule="exact"/>
              <w:jc w:val="lef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noWrap w:val="0"/>
            <w:vAlign w:val="top"/>
          </w:tcPr>
          <w:p>
            <w:pPr>
              <w:spacing w:line="500" w:lineRule="exact"/>
              <w:jc w:val="center"/>
              <w:rPr>
                <w:rFonts w:hint="eastAsia" w:ascii="仿宋" w:hAnsi="仿宋" w:eastAsia="仿宋" w:cs="仿宋"/>
                <w:color w:val="000000"/>
                <w:sz w:val="24"/>
                <w:szCs w:val="24"/>
                <w:highlight w:val="none"/>
              </w:rPr>
            </w:pPr>
          </w:p>
        </w:tc>
        <w:tc>
          <w:tcPr>
            <w:tcW w:w="2096" w:type="dxa"/>
            <w:noWrap w:val="0"/>
            <w:vAlign w:val="top"/>
          </w:tcPr>
          <w:p>
            <w:pPr>
              <w:spacing w:line="500" w:lineRule="exact"/>
              <w:jc w:val="left"/>
              <w:rPr>
                <w:rFonts w:hint="eastAsia" w:ascii="仿宋" w:hAnsi="仿宋" w:eastAsia="仿宋" w:cs="仿宋"/>
                <w:color w:val="000000"/>
                <w:sz w:val="24"/>
                <w:szCs w:val="24"/>
                <w:highlight w:val="none"/>
              </w:rPr>
            </w:pPr>
          </w:p>
        </w:tc>
        <w:tc>
          <w:tcPr>
            <w:tcW w:w="1985" w:type="dxa"/>
            <w:noWrap w:val="0"/>
            <w:vAlign w:val="top"/>
          </w:tcPr>
          <w:p>
            <w:pPr>
              <w:spacing w:line="500" w:lineRule="exact"/>
              <w:jc w:val="left"/>
              <w:rPr>
                <w:rFonts w:hint="eastAsia" w:ascii="仿宋" w:hAnsi="仿宋" w:eastAsia="仿宋" w:cs="仿宋"/>
                <w:color w:val="000000"/>
                <w:sz w:val="24"/>
                <w:szCs w:val="24"/>
                <w:highlight w:val="none"/>
              </w:rPr>
            </w:pPr>
          </w:p>
        </w:tc>
        <w:tc>
          <w:tcPr>
            <w:tcW w:w="1578" w:type="dxa"/>
            <w:noWrap w:val="0"/>
            <w:vAlign w:val="top"/>
          </w:tcPr>
          <w:p>
            <w:pPr>
              <w:spacing w:line="500" w:lineRule="exact"/>
              <w:jc w:val="left"/>
              <w:rPr>
                <w:rFonts w:hint="eastAsia" w:ascii="仿宋" w:hAnsi="仿宋" w:eastAsia="仿宋" w:cs="仿宋"/>
                <w:color w:val="000000"/>
                <w:sz w:val="24"/>
                <w:szCs w:val="24"/>
                <w:highlight w:val="none"/>
              </w:rPr>
            </w:pPr>
          </w:p>
        </w:tc>
        <w:tc>
          <w:tcPr>
            <w:tcW w:w="1449" w:type="dxa"/>
            <w:noWrap w:val="0"/>
            <w:vAlign w:val="top"/>
          </w:tcPr>
          <w:p>
            <w:pPr>
              <w:spacing w:line="500" w:lineRule="exact"/>
              <w:jc w:val="left"/>
              <w:rPr>
                <w:rFonts w:hint="eastAsia" w:ascii="仿宋" w:hAnsi="仿宋" w:eastAsia="仿宋" w:cs="仿宋"/>
                <w:color w:val="000000"/>
                <w:sz w:val="24"/>
                <w:szCs w:val="24"/>
                <w:highlight w:val="none"/>
              </w:rPr>
            </w:pPr>
          </w:p>
        </w:tc>
        <w:tc>
          <w:tcPr>
            <w:tcW w:w="1418" w:type="dxa"/>
            <w:noWrap w:val="0"/>
            <w:vAlign w:val="top"/>
          </w:tcPr>
          <w:p>
            <w:pPr>
              <w:spacing w:line="500" w:lineRule="exact"/>
              <w:jc w:val="left"/>
              <w:rPr>
                <w:rFonts w:hint="eastAsia" w:ascii="仿宋" w:hAnsi="仿宋" w:eastAsia="仿宋" w:cs="仿宋"/>
                <w:color w:val="000000"/>
                <w:sz w:val="24"/>
                <w:szCs w:val="24"/>
                <w:highlight w:val="none"/>
              </w:rPr>
            </w:pPr>
          </w:p>
        </w:tc>
      </w:tr>
    </w:tbl>
    <w:p>
      <w:pPr>
        <w:pStyle w:val="2"/>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p>
    <w:p>
      <w:pPr>
        <w:pStyle w:val="2"/>
        <w:rPr>
          <w:rFonts w:hint="eastAsia" w:ascii="仿宋" w:hAnsi="仿宋" w:eastAsia="仿宋" w:cs="仿宋"/>
          <w:b/>
          <w:bCs/>
          <w:spacing w:val="0"/>
          <w:kern w:val="0"/>
          <w:sz w:val="24"/>
          <w:szCs w:val="20"/>
          <w:highlight w:val="none"/>
          <w:lang w:val="en-US" w:eastAsia="zh-CN" w:bidi="ar-SA"/>
        </w:rPr>
      </w:pPr>
      <w:r>
        <w:rPr>
          <w:rFonts w:hint="eastAsia" w:ascii="仿宋" w:hAnsi="仿宋" w:eastAsia="仿宋" w:cs="仿宋"/>
          <w:b/>
          <w:bCs/>
          <w:spacing w:val="0"/>
          <w:kern w:val="0"/>
          <w:sz w:val="24"/>
          <w:szCs w:val="20"/>
          <w:highlight w:val="none"/>
          <w:lang w:val="en-US" w:eastAsia="zh-CN" w:bidi="ar-SA"/>
        </w:rPr>
        <w:tab/>
      </w:r>
      <w:r>
        <w:rPr>
          <w:rFonts w:hint="eastAsia" w:ascii="仿宋" w:hAnsi="仿宋" w:eastAsia="仿宋" w:cs="仿宋"/>
          <w:b/>
          <w:bCs/>
          <w:spacing w:val="0"/>
          <w:kern w:val="0"/>
          <w:sz w:val="24"/>
          <w:szCs w:val="20"/>
          <w:highlight w:val="none"/>
          <w:lang w:val="en-US" w:eastAsia="zh-CN" w:bidi="ar-SA"/>
        </w:rPr>
        <w:tab/>
      </w:r>
      <w:r>
        <w:rPr>
          <w:rFonts w:hint="eastAsia" w:ascii="仿宋" w:hAnsi="仿宋" w:eastAsia="仿宋" w:cs="仿宋"/>
          <w:b/>
          <w:bCs/>
          <w:spacing w:val="0"/>
          <w:kern w:val="0"/>
          <w:sz w:val="24"/>
          <w:szCs w:val="20"/>
          <w:highlight w:val="none"/>
          <w:lang w:val="en-US" w:eastAsia="zh-CN" w:bidi="ar-SA"/>
        </w:rPr>
        <w:tab/>
      </w:r>
      <w:r>
        <w:rPr>
          <w:rFonts w:hint="eastAsia" w:ascii="仿宋" w:hAnsi="仿宋" w:eastAsia="仿宋" w:cs="仿宋"/>
          <w:b/>
          <w:bCs/>
          <w:spacing w:val="0"/>
          <w:kern w:val="0"/>
          <w:sz w:val="24"/>
          <w:szCs w:val="20"/>
          <w:highlight w:val="none"/>
          <w:lang w:val="en-US" w:eastAsia="zh-CN" w:bidi="ar-SA"/>
        </w:rPr>
        <w:tab/>
      </w:r>
      <w:r>
        <w:rPr>
          <w:rFonts w:hint="eastAsia" w:ascii="仿宋" w:hAnsi="仿宋" w:eastAsia="仿宋" w:cs="仿宋"/>
          <w:b/>
          <w:bCs/>
          <w:spacing w:val="0"/>
          <w:kern w:val="0"/>
          <w:sz w:val="24"/>
          <w:szCs w:val="20"/>
          <w:highlight w:val="none"/>
          <w:lang w:val="en-US" w:eastAsia="zh-CN" w:bidi="ar-SA"/>
        </w:rPr>
        <w:tab/>
      </w:r>
    </w:p>
    <w:p>
      <w:pPr>
        <w:pStyle w:val="2"/>
        <w:keepNext w:val="0"/>
        <w:keepLines w:val="0"/>
        <w:pageBreakBefore w:val="0"/>
        <w:widowControl w:val="0"/>
        <w:kinsoku/>
        <w:wordWrap/>
        <w:overflowPunct/>
        <w:topLinePunct w:val="0"/>
        <w:autoSpaceDE/>
        <w:autoSpaceDN/>
        <w:bidi w:val="0"/>
        <w:spacing w:line="360" w:lineRule="auto"/>
        <w:jc w:val="left"/>
        <w:rPr>
          <w:rFonts w:hint="eastAsia" w:ascii="仿宋" w:hAnsi="仿宋" w:eastAsia="仿宋" w:cs="仿宋"/>
          <w:b/>
          <w:bCs/>
          <w:spacing w:val="0"/>
          <w:kern w:val="0"/>
          <w:sz w:val="24"/>
          <w:szCs w:val="20"/>
          <w:highlight w:val="none"/>
          <w:lang w:val="en-US" w:eastAsia="zh-CN" w:bidi="ar-SA"/>
        </w:rPr>
      </w:pPr>
      <w:r>
        <w:rPr>
          <w:rFonts w:hint="eastAsia" w:ascii="仿宋" w:hAnsi="仿宋" w:eastAsia="仿宋" w:cs="仿宋"/>
          <w:b/>
          <w:bCs/>
          <w:spacing w:val="0"/>
          <w:kern w:val="0"/>
          <w:sz w:val="24"/>
          <w:szCs w:val="20"/>
          <w:highlight w:val="none"/>
          <w:lang w:val="en-US" w:eastAsia="zh-CN" w:bidi="ar-SA"/>
        </w:rPr>
        <w:t>注：1.投标人递交的投标文件中与采购文件的要求有不同时，应逐条列在偏离表中并作出“正偏离/负偏离”，同时在说明栏目中具体说明及填写页码，否则将认为投标人接受采购文件的要求；</w:t>
      </w:r>
    </w:p>
    <w:p>
      <w:pPr>
        <w:pStyle w:val="3"/>
        <w:keepNext w:val="0"/>
        <w:keepLines w:val="0"/>
        <w:pageBreakBefore w:val="0"/>
        <w:widowControl w:val="0"/>
        <w:kinsoku/>
        <w:wordWrap/>
        <w:overflowPunct/>
        <w:topLinePunct w:val="0"/>
        <w:autoSpaceDE/>
        <w:autoSpaceDN/>
        <w:bidi w:val="0"/>
        <w:spacing w:after="0" w:line="360" w:lineRule="auto"/>
        <w:ind w:firstLine="562" w:firstLineChars="200"/>
        <w:jc w:val="left"/>
        <w:rPr>
          <w:rFonts w:hint="eastAsia" w:ascii="仿宋" w:hAnsi="仿宋" w:eastAsia="仿宋" w:cs="仿宋"/>
          <w:highlight w:val="none"/>
        </w:rPr>
      </w:pPr>
      <w:r>
        <w:rPr>
          <w:rFonts w:hint="eastAsia" w:ascii="仿宋" w:hAnsi="仿宋" w:eastAsia="仿宋" w:cs="仿宋"/>
          <w:highlight w:val="none"/>
        </w:rPr>
        <w:t>2.未填写此表视为对本项目采购需求全部响应。</w:t>
      </w:r>
    </w:p>
    <w:p>
      <w:pPr>
        <w:pStyle w:val="2"/>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sz w:val="24"/>
          <w:highlight w:val="none"/>
        </w:rPr>
      </w:pPr>
    </w:p>
    <w:p>
      <w:pPr>
        <w:keepNext w:val="0"/>
        <w:keepLines w:val="0"/>
        <w:pageBreakBefore w:val="0"/>
        <w:widowControl w:val="0"/>
        <w:kinsoku/>
        <w:wordWrap/>
        <w:overflowPunct/>
        <w:topLinePunct w:val="0"/>
        <w:autoSpaceDE/>
        <w:autoSpaceDN/>
        <w:bidi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法定代表人或其授权代表：</w:t>
      </w:r>
      <w:r>
        <w:rPr>
          <w:rFonts w:hint="eastAsia" w:ascii="仿宋" w:hAnsi="仿宋" w:eastAsia="仿宋" w:cs="仿宋"/>
          <w:sz w:val="24"/>
          <w:szCs w:val="24"/>
          <w:highlight w:val="none"/>
          <w:u w:val="single"/>
        </w:rPr>
        <w:t xml:space="preserve">       （签字或盖章）</w:t>
      </w:r>
    </w:p>
    <w:p>
      <w:pPr>
        <w:keepNext w:val="0"/>
        <w:keepLines w:val="0"/>
        <w:pageBreakBefore w:val="0"/>
        <w:widowControl w:val="0"/>
        <w:kinsoku/>
        <w:wordWrap/>
        <w:overflowPunct/>
        <w:topLinePunct w:val="0"/>
        <w:autoSpaceDE/>
        <w:autoSpaceDN/>
        <w:bidi w:val="0"/>
        <w:snapToGrid w:val="0"/>
        <w:spacing w:line="360" w:lineRule="auto"/>
        <w:ind w:right="-817" w:rightChars="-38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投标人名称： </w:t>
      </w:r>
      <w:r>
        <w:rPr>
          <w:rFonts w:hint="eastAsia" w:ascii="仿宋" w:hAnsi="仿宋" w:eastAsia="仿宋" w:cs="仿宋"/>
          <w:sz w:val="24"/>
          <w:szCs w:val="24"/>
          <w:highlight w:val="none"/>
          <w:u w:val="single"/>
        </w:rPr>
        <w:t xml:space="preserve">                        （公章）</w:t>
      </w:r>
    </w:p>
    <w:p>
      <w:pPr>
        <w:keepNext w:val="0"/>
        <w:keepLines w:val="0"/>
        <w:pageBreakBefore w:val="0"/>
        <w:widowControl w:val="0"/>
        <w:kinsoku/>
        <w:wordWrap/>
        <w:overflowPunct/>
        <w:topLinePunct w:val="0"/>
        <w:autoSpaceDE/>
        <w:autoSpaceDN/>
        <w:bidi w:val="0"/>
        <w:snapToGrid w:val="0"/>
        <w:spacing w:line="360" w:lineRule="auto"/>
        <w:ind w:right="-817" w:rightChars="-389"/>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 xml:space="preserve">    年   月   日</w:t>
      </w:r>
    </w:p>
    <w:p>
      <w:pPr>
        <w:pStyle w:val="8"/>
        <w:rPr>
          <w:rFonts w:hint="eastAsia"/>
          <w:highlight w:val="none"/>
        </w:rPr>
      </w:pPr>
    </w:p>
    <w:p>
      <w:pPr>
        <w:pStyle w:val="8"/>
        <w:rPr>
          <w:rFonts w:hint="eastAsia"/>
          <w:highlight w:val="none"/>
        </w:rPr>
      </w:pPr>
    </w:p>
    <w:p>
      <w:pPr>
        <w:pStyle w:val="8"/>
        <w:rPr>
          <w:rFonts w:hint="eastAsia"/>
          <w:highlight w:val="none"/>
        </w:rPr>
      </w:pPr>
    </w:p>
    <w:p>
      <w:pPr>
        <w:pStyle w:val="8"/>
        <w:jc w:val="center"/>
        <w:rPr>
          <w:rFonts w:hint="default"/>
          <w:highlight w:val="none"/>
          <w:lang w:val="en-US" w:eastAsia="zh-CN"/>
        </w:rPr>
      </w:pPr>
      <w:r>
        <w:rPr>
          <w:rFonts w:hint="eastAsia"/>
          <w:highlight w:val="none"/>
          <w:lang w:val="en-US" w:eastAsia="zh-CN"/>
        </w:rPr>
        <w:t>5.</w:t>
      </w:r>
      <w:r>
        <w:rPr>
          <w:rFonts w:hint="eastAsia" w:ascii="仿宋" w:hAnsi="仿宋" w:eastAsia="仿宋" w:cs="仿宋"/>
          <w:kern w:val="2"/>
          <w:sz w:val="24"/>
          <w:szCs w:val="24"/>
          <w:highlight w:val="none"/>
          <w:lang w:val="en-US" w:eastAsia="zh-CN" w:bidi="ar-SA"/>
        </w:rPr>
        <w:t>交货期承诺函</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bCs/>
          <w:kern w:val="0"/>
          <w:sz w:val="24"/>
          <w:szCs w:val="24"/>
          <w:highlight w:val="none"/>
          <w:u w:val="single"/>
        </w:rPr>
        <w:t xml:space="preserve">         </w:t>
      </w:r>
      <w:r>
        <w:rPr>
          <w:rFonts w:hint="eastAsia" w:ascii="仿宋" w:hAnsi="仿宋" w:eastAsia="仿宋" w:cs="仿宋"/>
          <w:bCs/>
          <w:kern w:val="0"/>
          <w:sz w:val="24"/>
          <w:szCs w:val="24"/>
          <w:highlight w:val="none"/>
          <w:lang w:val="zh-CN"/>
        </w:rPr>
        <w:t>（采购人）</w:t>
      </w:r>
    </w:p>
    <w:p>
      <w:pPr>
        <w:pStyle w:val="14"/>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我方参加</w:t>
      </w:r>
      <w:r>
        <w:rPr>
          <w:rFonts w:hint="eastAsia" w:ascii="仿宋" w:hAnsi="仿宋" w:eastAsia="仿宋" w:cs="仿宋"/>
          <w:color w:val="000000"/>
          <w:sz w:val="24"/>
          <w:szCs w:val="24"/>
          <w:highlight w:val="none"/>
          <w:u w:val="single"/>
        </w:rPr>
        <w:t xml:space="preserve">       项目名称（项目编号：    </w:t>
      </w:r>
      <w:r>
        <w:rPr>
          <w:rFonts w:hint="eastAsia" w:ascii="仿宋" w:hAnsi="仿宋" w:eastAsia="仿宋" w:cs="仿宋"/>
          <w:color w:val="000000"/>
          <w:sz w:val="24"/>
          <w:szCs w:val="24"/>
          <w:highlight w:val="none"/>
          <w:u w:val="single"/>
          <w:lang w:eastAsia="zh-CN"/>
        </w:rPr>
        <w:t>）</w:t>
      </w:r>
      <w:r>
        <w:rPr>
          <w:rFonts w:hint="eastAsia" w:ascii="仿宋" w:hAnsi="仿宋" w:eastAsia="仿宋" w:cs="仿宋"/>
          <w:color w:val="000000"/>
          <w:sz w:val="24"/>
          <w:szCs w:val="24"/>
          <w:highlight w:val="none"/>
        </w:rPr>
        <w:t>采购活动，郑重承诺：</w:t>
      </w:r>
    </w:p>
    <w:p>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如我方中标,合同签订后,我方</w:t>
      </w:r>
      <w:r>
        <w:rPr>
          <w:rFonts w:hint="eastAsia" w:ascii="仿宋" w:hAnsi="仿宋" w:eastAsia="仿宋" w:cs="仿宋"/>
          <w:sz w:val="24"/>
          <w:szCs w:val="24"/>
          <w:highlight w:val="none"/>
          <w:lang w:val="en-US" w:eastAsia="zh-CN"/>
        </w:rPr>
        <w:t>在</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日历天</w:t>
      </w:r>
      <w:r>
        <w:rPr>
          <w:rFonts w:hint="eastAsia" w:ascii="仿宋" w:hAnsi="仿宋" w:eastAsia="仿宋" w:cs="仿宋"/>
          <w:sz w:val="24"/>
          <w:szCs w:val="24"/>
          <w:highlight w:val="none"/>
        </w:rPr>
        <w:t>内,将货物运达</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指定地</w:t>
      </w:r>
      <w:r>
        <w:rPr>
          <w:rFonts w:hint="eastAsia" w:ascii="仿宋" w:hAnsi="仿宋" w:eastAsia="仿宋" w:cs="仿宋"/>
          <w:sz w:val="24"/>
          <w:szCs w:val="24"/>
          <w:highlight w:val="none"/>
          <w:lang w:val="en-US" w:eastAsia="zh-CN"/>
        </w:rPr>
        <w:t>并完成安装调试，</w:t>
      </w:r>
      <w:r>
        <w:rPr>
          <w:rFonts w:hint="eastAsia" w:ascii="仿宋" w:hAnsi="仿宋" w:eastAsia="仿宋" w:cs="仿宋"/>
          <w:sz w:val="24"/>
          <w:szCs w:val="24"/>
          <w:highlight w:val="none"/>
        </w:rPr>
        <w:t>且承诺将按照合同中要求提供服务。</w:t>
      </w:r>
    </w:p>
    <w:p>
      <w:pPr>
        <w:adjustRightInd w:val="0"/>
        <w:snapToGrid w:val="0"/>
        <w:spacing w:line="360" w:lineRule="auto"/>
        <w:rPr>
          <w:rFonts w:hint="eastAsia" w:ascii="仿宋" w:hAnsi="仿宋" w:eastAsia="仿宋" w:cs="仿宋"/>
          <w:kern w:val="0"/>
          <w:sz w:val="24"/>
          <w:szCs w:val="24"/>
          <w:highlight w:val="none"/>
          <w:lang w:val="zh-CN"/>
        </w:rPr>
      </w:pPr>
    </w:p>
    <w:p>
      <w:pPr>
        <w:adjustRightInd w:val="0"/>
        <w:snapToGrid w:val="0"/>
        <w:spacing w:line="360" w:lineRule="auto"/>
        <w:rPr>
          <w:rFonts w:hint="eastAsia" w:ascii="仿宋" w:hAnsi="仿宋" w:eastAsia="仿宋" w:cs="仿宋"/>
          <w:kern w:val="0"/>
          <w:sz w:val="24"/>
          <w:szCs w:val="24"/>
          <w:highlight w:val="none"/>
          <w:lang w:val="zh-CN"/>
        </w:rPr>
      </w:pPr>
    </w:p>
    <w:p>
      <w:pPr>
        <w:adjustRightInd w:val="0"/>
        <w:snapToGrid w:val="0"/>
        <w:spacing w:line="360" w:lineRule="auto"/>
        <w:rPr>
          <w:rFonts w:hint="eastAsia" w:ascii="仿宋" w:hAnsi="仿宋" w:eastAsia="仿宋" w:cs="仿宋"/>
          <w:kern w:val="0"/>
          <w:sz w:val="24"/>
          <w:szCs w:val="24"/>
          <w:highlight w:val="none"/>
          <w:lang w:val="zh-CN"/>
        </w:rPr>
      </w:pPr>
    </w:p>
    <w:p>
      <w:pPr>
        <w:adjustRightInd w:val="0"/>
        <w:snapToGrid w:val="0"/>
        <w:spacing w:line="360" w:lineRule="auto"/>
        <w:rPr>
          <w:rFonts w:hint="eastAsia" w:ascii="仿宋" w:hAnsi="仿宋" w:eastAsia="仿宋" w:cs="仿宋"/>
          <w:kern w:val="0"/>
          <w:sz w:val="24"/>
          <w:szCs w:val="24"/>
          <w:highlight w:val="none"/>
          <w:lang w:val="zh-CN"/>
        </w:rPr>
      </w:pPr>
    </w:p>
    <w:p>
      <w:pPr>
        <w:adjustRightInd w:val="0"/>
        <w:snapToGri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zh-CN"/>
        </w:rPr>
        <w:t>供应商名称（公章）：</w:t>
      </w:r>
    </w:p>
    <w:p>
      <w:pPr>
        <w:adjustRightInd w:val="0"/>
        <w:snapToGrid w:val="0"/>
        <w:spacing w:line="360" w:lineRule="auto"/>
        <w:ind w:right="93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法定代表人或授权代表人（签字或盖章）</w:t>
      </w:r>
    </w:p>
    <w:p>
      <w:pPr>
        <w:adjustRightInd w:val="0"/>
        <w:snapToGrid w:val="0"/>
        <w:spacing w:line="360" w:lineRule="auto"/>
        <w:ind w:right="930"/>
        <w:rPr>
          <w:rFonts w:hint="eastAsia" w:ascii="仿宋" w:hAnsi="仿宋" w:eastAsia="仿宋" w:cs="仿宋"/>
          <w:sz w:val="24"/>
          <w:szCs w:val="24"/>
          <w:highlight w:val="none"/>
          <w:u w:val="single"/>
        </w:rPr>
      </w:pPr>
      <w:r>
        <w:rPr>
          <w:rFonts w:hint="eastAsia" w:ascii="仿宋" w:hAnsi="仿宋" w:eastAsia="仿宋" w:cs="仿宋"/>
          <w:kern w:val="0"/>
          <w:sz w:val="24"/>
          <w:szCs w:val="24"/>
          <w:highlight w:val="none"/>
          <w:lang w:val="zh-CN"/>
        </w:rPr>
        <w:t>日期：</w:t>
      </w:r>
      <w:r>
        <w:rPr>
          <w:rFonts w:hint="eastAsia" w:ascii="仿宋" w:hAnsi="仿宋" w:eastAsia="仿宋" w:cs="仿宋"/>
          <w:sz w:val="24"/>
          <w:szCs w:val="24"/>
          <w:highlight w:val="none"/>
          <w:u w:val="single"/>
        </w:rPr>
        <w:t xml:space="preserve">    年   月   日</w:t>
      </w:r>
    </w:p>
    <w:p>
      <w:pPr>
        <w:pStyle w:val="8"/>
        <w:jc w:val="center"/>
        <w:rPr>
          <w:rFonts w:hint="eastAsia"/>
          <w:highlight w:val="none"/>
          <w:lang w:val="en-US" w:eastAsia="zh-CN"/>
        </w:rPr>
      </w:pPr>
    </w:p>
    <w:p>
      <w:pPr>
        <w:pStyle w:val="8"/>
        <w:jc w:val="center"/>
        <w:rPr>
          <w:rFonts w:hint="eastAsia"/>
          <w:highlight w:val="none"/>
          <w:lang w:val="en-US" w:eastAsia="zh-CN"/>
        </w:rPr>
      </w:pPr>
    </w:p>
    <w:p>
      <w:pPr>
        <w:pStyle w:val="8"/>
        <w:jc w:val="center"/>
        <w:rPr>
          <w:rFonts w:hint="eastAsia"/>
          <w:highlight w:val="none"/>
          <w:lang w:val="en-US" w:eastAsia="zh-CN"/>
        </w:rPr>
      </w:pPr>
    </w:p>
    <w:p>
      <w:pPr>
        <w:pStyle w:val="8"/>
        <w:jc w:val="center"/>
        <w:rPr>
          <w:rFonts w:hint="eastAsia"/>
          <w:highlight w:val="none"/>
          <w:lang w:val="en-US" w:eastAsia="zh-CN"/>
        </w:rPr>
      </w:pPr>
    </w:p>
    <w:p>
      <w:pPr>
        <w:pStyle w:val="8"/>
        <w:jc w:val="center"/>
        <w:rPr>
          <w:rFonts w:hint="eastAsia"/>
          <w:highlight w:val="none"/>
          <w:lang w:val="en-US" w:eastAsia="zh-CN"/>
        </w:rPr>
      </w:pPr>
    </w:p>
    <w:p>
      <w:pPr>
        <w:pStyle w:val="8"/>
        <w:jc w:val="center"/>
        <w:rPr>
          <w:rFonts w:hint="eastAsia"/>
          <w:highlight w:val="none"/>
          <w:lang w:val="en-US" w:eastAsia="zh-CN"/>
        </w:rPr>
      </w:pPr>
    </w:p>
    <w:p>
      <w:pPr>
        <w:pStyle w:val="8"/>
        <w:jc w:val="center"/>
        <w:rPr>
          <w:rFonts w:hint="eastAsia"/>
          <w:highlight w:val="none"/>
          <w:lang w:val="en-US" w:eastAsia="zh-CN"/>
        </w:rPr>
      </w:pPr>
    </w:p>
    <w:p>
      <w:pPr>
        <w:pStyle w:val="8"/>
        <w:jc w:val="center"/>
        <w:rPr>
          <w:rFonts w:hint="eastAsia"/>
          <w:highlight w:val="none"/>
          <w:lang w:val="en-US" w:eastAsia="zh-CN"/>
        </w:rPr>
      </w:pPr>
    </w:p>
    <w:p>
      <w:pPr>
        <w:pStyle w:val="8"/>
        <w:jc w:val="center"/>
        <w:rPr>
          <w:rFonts w:hint="eastAsia"/>
          <w:highlight w:val="none"/>
          <w:lang w:val="en-US" w:eastAsia="zh-CN"/>
        </w:rPr>
      </w:pPr>
    </w:p>
    <w:p>
      <w:pPr>
        <w:pStyle w:val="8"/>
        <w:jc w:val="center"/>
        <w:rPr>
          <w:rFonts w:hint="eastAsia"/>
          <w:highlight w:val="none"/>
          <w:lang w:val="en-US" w:eastAsia="zh-CN"/>
        </w:rPr>
      </w:pPr>
    </w:p>
    <w:p>
      <w:pPr>
        <w:pStyle w:val="8"/>
        <w:jc w:val="center"/>
        <w:rPr>
          <w:rFonts w:hint="eastAsia"/>
          <w:highlight w:val="none"/>
          <w:lang w:val="en-US" w:eastAsia="zh-CN"/>
        </w:rPr>
      </w:pPr>
    </w:p>
    <w:p>
      <w:pPr>
        <w:pStyle w:val="8"/>
        <w:jc w:val="center"/>
        <w:rPr>
          <w:rFonts w:hint="eastAsia"/>
          <w:highlight w:val="none"/>
          <w:lang w:val="en-US" w:eastAsia="zh-CN"/>
        </w:rPr>
      </w:pPr>
    </w:p>
    <w:p>
      <w:pPr>
        <w:pStyle w:val="8"/>
        <w:jc w:val="center"/>
        <w:rPr>
          <w:rFonts w:hint="eastAsia"/>
          <w:highlight w:val="none"/>
          <w:lang w:val="en-US" w:eastAsia="zh-CN"/>
        </w:rPr>
      </w:pPr>
    </w:p>
    <w:p>
      <w:pPr>
        <w:pStyle w:val="8"/>
        <w:jc w:val="center"/>
        <w:rPr>
          <w:rFonts w:hint="eastAsia"/>
          <w:highlight w:val="none"/>
          <w:lang w:val="en-US" w:eastAsia="zh-CN"/>
        </w:rPr>
      </w:pPr>
    </w:p>
    <w:p>
      <w:pPr>
        <w:pStyle w:val="8"/>
        <w:jc w:val="center"/>
        <w:rPr>
          <w:rFonts w:hint="eastAsia"/>
          <w:highlight w:val="none"/>
          <w:lang w:val="en-US" w:eastAsia="zh-CN"/>
        </w:rPr>
      </w:pPr>
    </w:p>
    <w:p>
      <w:pPr>
        <w:pStyle w:val="8"/>
        <w:jc w:val="center"/>
        <w:rPr>
          <w:rFonts w:hint="eastAsia"/>
          <w:highlight w:val="none"/>
          <w:lang w:val="en-US" w:eastAsia="zh-CN"/>
        </w:rPr>
      </w:pPr>
    </w:p>
    <w:p>
      <w:pPr>
        <w:pStyle w:val="8"/>
        <w:jc w:val="center"/>
        <w:rPr>
          <w:rFonts w:hint="eastAsia"/>
          <w:highlight w:val="none"/>
          <w:lang w:val="en-US" w:eastAsia="zh-CN"/>
        </w:rPr>
      </w:pPr>
    </w:p>
    <w:p>
      <w:pPr>
        <w:pStyle w:val="8"/>
        <w:jc w:val="center"/>
        <w:rPr>
          <w:rFonts w:hint="default" w:eastAsia="宋体"/>
          <w:highlight w:val="none"/>
          <w:lang w:val="en-US" w:eastAsia="zh-CN"/>
        </w:rPr>
      </w:pPr>
      <w:r>
        <w:rPr>
          <w:rFonts w:hint="eastAsia"/>
          <w:highlight w:val="none"/>
          <w:lang w:val="en-US" w:eastAsia="zh-CN"/>
        </w:rPr>
        <w:t>6.</w:t>
      </w:r>
      <w:r>
        <w:rPr>
          <w:rFonts w:hint="eastAsia" w:ascii="仿宋" w:hAnsi="仿宋" w:eastAsia="仿宋" w:cs="仿宋"/>
          <w:bCs/>
          <w:sz w:val="24"/>
          <w:szCs w:val="24"/>
          <w:highlight w:val="none"/>
        </w:rPr>
        <w:t>投标人按照评分标准要求提供的相应资料</w:t>
      </w:r>
    </w:p>
    <w:p>
      <w:pPr>
        <w:pStyle w:val="8"/>
        <w:rPr>
          <w:rFonts w:hint="eastAsia"/>
          <w:highlight w:val="none"/>
        </w:rPr>
      </w:pPr>
    </w:p>
    <w:p>
      <w:pPr>
        <w:pStyle w:val="8"/>
        <w:rPr>
          <w:rFonts w:hint="eastAsia"/>
          <w:highlight w:val="none"/>
        </w:rPr>
      </w:pPr>
    </w:p>
    <w:p>
      <w:pPr>
        <w:pStyle w:val="8"/>
        <w:rPr>
          <w:rFonts w:hint="eastAsia"/>
          <w:highlight w:val="none"/>
        </w:rPr>
        <w:sectPr>
          <w:pgSz w:w="11922" w:h="16838"/>
          <w:pgMar w:top="1417" w:right="1304" w:bottom="1417" w:left="1304" w:header="397" w:footer="1037" w:gutter="0"/>
          <w:cols w:space="0" w:num="1"/>
          <w:rtlGutter w:val="0"/>
          <w:docGrid w:linePitch="312" w:charSpace="0"/>
        </w:sectPr>
      </w:pPr>
    </w:p>
    <w:p>
      <w:pPr>
        <w:snapToGrid w:val="0"/>
        <w:spacing w:line="360" w:lineRule="auto"/>
        <w:jc w:val="center"/>
        <w:rPr>
          <w:rFonts w:hint="eastAsia" w:ascii="仿宋" w:hAnsi="仿宋" w:eastAsia="仿宋" w:cs="仿宋"/>
          <w:b/>
          <w:sz w:val="28"/>
          <w:szCs w:val="28"/>
          <w:highlight w:val="none"/>
        </w:rPr>
      </w:pPr>
      <w:r>
        <w:rPr>
          <w:rStyle w:val="27"/>
          <w:rFonts w:hint="eastAsia" w:ascii="仿宋" w:hAnsi="仿宋" w:eastAsia="仿宋" w:cs="仿宋"/>
          <w:sz w:val="28"/>
          <w:szCs w:val="28"/>
          <w:highlight w:val="none"/>
          <w:lang w:val="en-US"/>
        </w:rPr>
        <w:t>三</w:t>
      </w:r>
      <w:r>
        <w:rPr>
          <w:rStyle w:val="27"/>
          <w:rFonts w:hint="eastAsia" w:ascii="仿宋" w:hAnsi="仿宋" w:eastAsia="仿宋" w:cs="仿宋"/>
          <w:sz w:val="28"/>
          <w:szCs w:val="28"/>
          <w:highlight w:val="none"/>
        </w:rPr>
        <w:t>、投标文件封面</w:t>
      </w:r>
    </w:p>
    <w:p>
      <w:pPr>
        <w:spacing w:line="360" w:lineRule="auto"/>
        <w:ind w:left="1800" w:leftChars="857"/>
        <w:jc w:val="right"/>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360" w:lineRule="auto"/>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p>
    <w:p>
      <w:pPr>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报价文件</w:t>
      </w:r>
    </w:p>
    <w:p>
      <w:pPr>
        <w:snapToGrid w:val="0"/>
        <w:spacing w:line="360" w:lineRule="auto"/>
        <w:ind w:firstLine="1962" w:firstLineChars="698"/>
        <w:rPr>
          <w:rFonts w:hint="eastAsia" w:ascii="仿宋" w:hAnsi="仿宋" w:eastAsia="仿宋" w:cs="仿宋"/>
          <w:b/>
          <w:sz w:val="28"/>
          <w:szCs w:val="28"/>
          <w:highlight w:val="none"/>
        </w:rPr>
      </w:pPr>
    </w:p>
    <w:p>
      <w:pPr>
        <w:pStyle w:val="8"/>
        <w:spacing w:line="360" w:lineRule="auto"/>
        <w:rPr>
          <w:rFonts w:hint="eastAsia" w:ascii="仿宋" w:hAnsi="仿宋" w:eastAsia="仿宋" w:cs="仿宋"/>
          <w:sz w:val="28"/>
          <w:szCs w:val="28"/>
          <w:highlight w:val="none"/>
        </w:rPr>
      </w:pPr>
    </w:p>
    <w:p>
      <w:pPr>
        <w:snapToGrid w:val="0"/>
        <w:spacing w:line="360" w:lineRule="auto"/>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p>
    <w:p>
      <w:pPr>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rPr>
        <w:t xml:space="preserve">                    </w:t>
      </w:r>
    </w:p>
    <w:p>
      <w:pPr>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（盖单位公章）</w:t>
      </w:r>
    </w:p>
    <w:p>
      <w:pPr>
        <w:snapToGrid w:val="0"/>
        <w:spacing w:line="360" w:lineRule="auto"/>
        <w:jc w:val="left"/>
        <w:outlineLvl w:val="9"/>
        <w:rPr>
          <w:rFonts w:hint="eastAsia" w:ascii="仿宋" w:hAnsi="仿宋" w:eastAsia="仿宋" w:cs="仿宋"/>
          <w:sz w:val="28"/>
          <w:szCs w:val="28"/>
          <w:highlight w:val="none"/>
          <w:lang w:val="en-US" w:eastAsia="zh-CN"/>
        </w:rPr>
        <w:sectPr>
          <w:pgSz w:w="11922" w:h="16838"/>
          <w:pgMar w:top="1417" w:right="1304" w:bottom="1417" w:left="1304" w:header="397" w:footer="1037" w:gutter="0"/>
          <w:cols w:space="0" w:num="1"/>
          <w:rtlGutter w:val="0"/>
          <w:docGrid w:linePitch="312" w:charSpace="0"/>
        </w:sect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u w:val="single"/>
        </w:rPr>
        <w:t xml:space="preserve">    年   月   </w:t>
      </w:r>
      <w:r>
        <w:rPr>
          <w:rFonts w:hint="eastAsia" w:ascii="仿宋" w:hAnsi="仿宋" w:eastAsia="仿宋" w:cs="仿宋"/>
          <w:sz w:val="28"/>
          <w:szCs w:val="28"/>
          <w:highlight w:val="none"/>
          <w:u w:val="single"/>
          <w:lang w:val="en-US" w:eastAsia="zh-CN"/>
        </w:rPr>
        <w:t>日</w:t>
      </w:r>
    </w:p>
    <w:bookmarkEnd w:id="169"/>
    <w:p>
      <w:pPr>
        <w:keepNext w:val="0"/>
        <w:keepLines w:val="0"/>
        <w:pageBreakBefore w:val="0"/>
        <w:widowControl w:val="0"/>
        <w:numPr>
          <w:ilvl w:val="-1"/>
          <w:numId w:val="0"/>
        </w:numPr>
        <w:kinsoku/>
        <w:wordWrap/>
        <w:overflowPunct/>
        <w:topLinePunct w:val="0"/>
        <w:autoSpaceDE w:val="0"/>
        <w:autoSpaceDN w:val="0"/>
        <w:bidi w:val="0"/>
        <w:adjustRightInd w:val="0"/>
        <w:spacing w:line="360" w:lineRule="auto"/>
        <w:jc w:val="center"/>
        <w:textAlignment w:val="auto"/>
        <w:outlineLvl w:val="2"/>
        <w:rPr>
          <w:rFonts w:hint="eastAsia" w:ascii="仿宋" w:hAnsi="仿宋" w:eastAsia="仿宋" w:cs="仿宋"/>
          <w:b w:val="0"/>
          <w:spacing w:val="20"/>
          <w:sz w:val="28"/>
          <w:szCs w:val="28"/>
          <w:highlight w:val="none"/>
        </w:rPr>
      </w:pPr>
      <w:r>
        <w:rPr>
          <w:rFonts w:hint="eastAsia" w:ascii="仿宋" w:hAnsi="仿宋" w:eastAsia="仿宋" w:cs="仿宋"/>
          <w:b w:val="0"/>
          <w:spacing w:val="20"/>
          <w:sz w:val="28"/>
          <w:szCs w:val="28"/>
          <w:highlight w:val="none"/>
          <w:lang w:val="en-US" w:eastAsia="zh-CN"/>
        </w:rPr>
        <w:t>1.</w:t>
      </w:r>
      <w:r>
        <w:rPr>
          <w:rFonts w:hint="eastAsia" w:ascii="仿宋" w:hAnsi="仿宋" w:eastAsia="仿宋" w:cs="仿宋"/>
          <w:b w:val="0"/>
          <w:spacing w:val="20"/>
          <w:sz w:val="28"/>
          <w:szCs w:val="28"/>
          <w:highlight w:val="none"/>
        </w:rPr>
        <w:t>开标一览表</w:t>
      </w:r>
    </w:p>
    <w:p>
      <w:pPr>
        <w:pStyle w:val="2"/>
        <w:keepNext w:val="0"/>
        <w:keepLines w:val="0"/>
        <w:pageBreakBefore w:val="0"/>
        <w:widowControl w:val="0"/>
        <w:kinsoku/>
        <w:wordWrap/>
        <w:overflowPunct/>
        <w:topLinePunct w:val="0"/>
        <w:bidi w:val="0"/>
        <w:spacing w:line="360" w:lineRule="auto"/>
        <w:textAlignment w:val="auto"/>
        <w:rPr>
          <w:rFonts w:hint="eastAsia" w:ascii="仿宋" w:hAnsi="仿宋" w:eastAsia="仿宋" w:cs="仿宋"/>
          <w:highlight w:val="none"/>
        </w:rPr>
      </w:pPr>
    </w:p>
    <w:p>
      <w:pPr>
        <w:keepNext w:val="0"/>
        <w:keepLines w:val="0"/>
        <w:pageBreakBefore w:val="0"/>
        <w:widowControl w:val="0"/>
        <w:kinsoku/>
        <w:wordWrap/>
        <w:overflowPunct/>
        <w:topLinePunct w:val="0"/>
        <w:bidi w:val="0"/>
        <w:snapToGrid w:val="0"/>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rPr>
        <w:t xml:space="preserve">                  </w:t>
      </w:r>
    </w:p>
    <w:tbl>
      <w:tblPr>
        <w:tblStyle w:val="16"/>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6779"/>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6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内容</w:t>
            </w:r>
          </w:p>
        </w:tc>
        <w:tc>
          <w:tcPr>
            <w:tcW w:w="2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6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highlight w:val="none"/>
              </w:rPr>
            </w:pPr>
          </w:p>
        </w:tc>
        <w:tc>
          <w:tcPr>
            <w:tcW w:w="2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360" w:lineRule="auto"/>
              <w:ind w:firstLine="480" w:firstLineChars="20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rPr>
            </w:pPr>
          </w:p>
        </w:tc>
        <w:tc>
          <w:tcPr>
            <w:tcW w:w="88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合计（大写）：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tc>
      </w:tr>
    </w:tbl>
    <w:p>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1.报价一经涂改，应在涂改处加盖投标人公章或者由法定代表人或其授权代表签字或盖章，否则其投标作无效标处理。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仿宋" w:hAnsi="仿宋" w:eastAsia="仿宋" w:cs="仿宋"/>
          <w:b w:val="0"/>
          <w:bCs w:val="0"/>
          <w:sz w:val="24"/>
          <w:szCs w:val="24"/>
          <w:highlight w:val="none"/>
          <w:lang w:val="zh-CN"/>
        </w:rPr>
      </w:pPr>
      <w:r>
        <w:rPr>
          <w:rFonts w:hint="eastAsia" w:ascii="仿宋" w:hAnsi="仿宋" w:eastAsia="仿宋" w:cs="仿宋"/>
          <w:sz w:val="24"/>
          <w:szCs w:val="24"/>
          <w:highlight w:val="none"/>
        </w:rPr>
        <w:t xml:space="preserve">    2.本投标报价项目</w:t>
      </w:r>
      <w:r>
        <w:rPr>
          <w:rFonts w:hint="eastAsia" w:ascii="仿宋" w:hAnsi="仿宋" w:eastAsia="仿宋" w:cs="仿宋"/>
          <w:b w:val="0"/>
          <w:bCs w:val="0"/>
          <w:sz w:val="24"/>
          <w:szCs w:val="24"/>
          <w:highlight w:val="none"/>
          <w:lang w:val="zh-CN"/>
        </w:rPr>
        <w:t>包括货物价格、标准附件、备品备件、专用工具、人员工资、运输、装卸、招标代理费、安装调试、技术服务及验收合格、售后服务、质保期内的维修更换服务等所需的各种费用及必要的保险费用和</w:t>
      </w:r>
      <w:r>
        <w:rPr>
          <w:rFonts w:hint="eastAsia" w:ascii="仿宋" w:hAnsi="仿宋" w:eastAsia="仿宋" w:cs="仿宋"/>
          <w:b w:val="0"/>
          <w:bCs w:val="0"/>
          <w:color w:val="auto"/>
          <w:sz w:val="24"/>
          <w:szCs w:val="24"/>
          <w:highlight w:val="none"/>
          <w:lang w:val="zh-CN"/>
        </w:rPr>
        <w:t>各项</w:t>
      </w:r>
      <w:r>
        <w:rPr>
          <w:rFonts w:hint="eastAsia" w:ascii="仿宋" w:hAnsi="仿宋" w:eastAsia="仿宋" w:cs="仿宋"/>
          <w:b w:val="0"/>
          <w:bCs w:val="0"/>
          <w:sz w:val="24"/>
          <w:szCs w:val="24"/>
          <w:highlight w:val="none"/>
          <w:lang w:val="zh-CN"/>
        </w:rPr>
        <w:t>税金等一切直接、间接成本和费用以及利润的全部。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Style w:val="2"/>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highlight w:val="none"/>
        </w:rPr>
      </w:pPr>
    </w:p>
    <w:p>
      <w:pPr>
        <w:pStyle w:val="2"/>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法定代表人或其授权代表：</w:t>
      </w:r>
      <w:r>
        <w:rPr>
          <w:rFonts w:hint="eastAsia" w:ascii="仿宋" w:hAnsi="仿宋" w:eastAsia="仿宋" w:cs="仿宋"/>
          <w:sz w:val="24"/>
          <w:szCs w:val="24"/>
          <w:highlight w:val="none"/>
          <w:u w:val="single"/>
        </w:rPr>
        <w:t xml:space="preserve">       （签字或盖章）</w:t>
      </w:r>
    </w:p>
    <w:p>
      <w:pPr>
        <w:keepNext w:val="0"/>
        <w:keepLines w:val="0"/>
        <w:pageBreakBefore w:val="0"/>
        <w:widowControl w:val="0"/>
        <w:kinsoku/>
        <w:wordWrap/>
        <w:overflowPunct/>
        <w:topLinePunct w:val="0"/>
        <w:autoSpaceDE/>
        <w:autoSpaceDN/>
        <w:bidi w:val="0"/>
        <w:adjustRightInd/>
        <w:snapToGrid w:val="0"/>
        <w:spacing w:line="360" w:lineRule="auto"/>
        <w:ind w:right="-817" w:rightChars="-389"/>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投标人名称： </w:t>
      </w:r>
      <w:r>
        <w:rPr>
          <w:rFonts w:hint="eastAsia" w:ascii="仿宋" w:hAnsi="仿宋" w:eastAsia="仿宋" w:cs="仿宋"/>
          <w:sz w:val="24"/>
          <w:szCs w:val="24"/>
          <w:highlight w:val="none"/>
          <w:u w:val="single"/>
        </w:rPr>
        <w:t xml:space="preserve">                        （公章）</w:t>
      </w:r>
    </w:p>
    <w:p>
      <w:pPr>
        <w:keepNext w:val="0"/>
        <w:keepLines w:val="0"/>
        <w:pageBreakBefore w:val="0"/>
        <w:widowControl w:val="0"/>
        <w:kinsoku/>
        <w:wordWrap/>
        <w:overflowPunct/>
        <w:topLinePunct w:val="0"/>
        <w:autoSpaceDE/>
        <w:autoSpaceDN/>
        <w:bidi w:val="0"/>
        <w:adjustRightInd/>
        <w:snapToGrid w:val="0"/>
        <w:spacing w:line="360" w:lineRule="auto"/>
        <w:ind w:right="-817" w:rightChars="-389"/>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 xml:space="preserve">    年   月   日</w:t>
      </w:r>
    </w:p>
    <w:p>
      <w:pPr>
        <w:pStyle w:val="2"/>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8"/>
          <w:szCs w:val="28"/>
          <w:highlight w:val="none"/>
        </w:rPr>
      </w:pPr>
    </w:p>
    <w:p>
      <w:pPr>
        <w:pStyle w:val="2"/>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br w:type="page"/>
      </w:r>
      <w:bookmarkStart w:id="199" w:name="_Toc30455"/>
      <w:bookmarkStart w:id="200" w:name="_Toc26523"/>
      <w:bookmarkStart w:id="201" w:name="_Toc23477"/>
      <w:r>
        <w:rPr>
          <w:rFonts w:hint="eastAsia" w:ascii="仿宋" w:hAnsi="仿宋" w:eastAsia="仿宋" w:cs="仿宋"/>
          <w:b w:val="0"/>
          <w:bCs w:val="0"/>
          <w:spacing w:val="20"/>
          <w:sz w:val="28"/>
          <w:szCs w:val="28"/>
          <w:highlight w:val="none"/>
        </w:rPr>
        <w:t>2.报价明细表</w:t>
      </w:r>
      <w:bookmarkEnd w:id="199"/>
      <w:bookmarkEnd w:id="200"/>
      <w:bookmarkEnd w:id="201"/>
    </w:p>
    <w:p>
      <w:pPr>
        <w:keepNext w:val="0"/>
        <w:keepLines w:val="0"/>
        <w:pageBreakBefore w:val="0"/>
        <w:widowControl/>
        <w:kinsoku/>
        <w:wordWrap/>
        <w:overflowPunct/>
        <w:topLinePunct w:val="0"/>
        <w:autoSpaceDE/>
        <w:autoSpaceDN/>
        <w:bidi w:val="0"/>
        <w:spacing w:line="360" w:lineRule="auto"/>
        <w:jc w:val="center"/>
        <w:textAlignment w:val="center"/>
        <w:rPr>
          <w:rFonts w:hint="eastAsia" w:ascii="仿宋" w:hAnsi="仿宋" w:eastAsia="仿宋" w:cs="仿宋"/>
          <w:color w:val="000000"/>
          <w:kern w:val="0"/>
          <w:sz w:val="24"/>
          <w:szCs w:val="24"/>
          <w:highlight w:val="none"/>
          <w:lang w:bidi="ar"/>
        </w:rPr>
      </w:pPr>
    </w:p>
    <w:p>
      <w:pPr>
        <w:keepNext w:val="0"/>
        <w:keepLines w:val="0"/>
        <w:pageBreakBefore w:val="0"/>
        <w:widowControl/>
        <w:kinsoku/>
        <w:wordWrap/>
        <w:overflowPunct/>
        <w:topLinePunct w:val="0"/>
        <w:autoSpaceDE/>
        <w:autoSpaceDN/>
        <w:bidi w:val="0"/>
        <w:spacing w:line="360" w:lineRule="auto"/>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szCs w:val="24"/>
          <w:highlight w:val="none"/>
          <w:lang w:bidi="ar"/>
        </w:rPr>
        <w:t>项目名称：                                       金额单位：人民币（元）</w:t>
      </w:r>
    </w:p>
    <w:tbl>
      <w:tblPr>
        <w:tblStyle w:val="16"/>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005"/>
        <w:gridCol w:w="1392"/>
        <w:gridCol w:w="1824"/>
        <w:gridCol w:w="1122"/>
        <w:gridCol w:w="1133"/>
        <w:gridCol w:w="1087"/>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65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序号</w:t>
            </w:r>
          </w:p>
        </w:tc>
        <w:tc>
          <w:tcPr>
            <w:tcW w:w="1005"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名称</w:t>
            </w:r>
          </w:p>
        </w:tc>
        <w:tc>
          <w:tcPr>
            <w:tcW w:w="139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品牌</w:t>
            </w:r>
          </w:p>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（如果有）</w:t>
            </w:r>
          </w:p>
        </w:tc>
        <w:tc>
          <w:tcPr>
            <w:tcW w:w="1824"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规格型号</w:t>
            </w:r>
          </w:p>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（或具体服务）</w:t>
            </w:r>
          </w:p>
        </w:tc>
        <w:tc>
          <w:tcPr>
            <w:tcW w:w="112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数量</w:t>
            </w:r>
          </w:p>
        </w:tc>
        <w:tc>
          <w:tcPr>
            <w:tcW w:w="113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单价</w:t>
            </w:r>
          </w:p>
        </w:tc>
        <w:tc>
          <w:tcPr>
            <w:tcW w:w="1087"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总价</w:t>
            </w:r>
          </w:p>
        </w:tc>
        <w:tc>
          <w:tcPr>
            <w:tcW w:w="2239"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服务要求（年限）</w:t>
            </w:r>
          </w:p>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5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w:t>
            </w:r>
          </w:p>
        </w:tc>
        <w:tc>
          <w:tcPr>
            <w:tcW w:w="1005"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392"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824"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122"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13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c>
          <w:tcPr>
            <w:tcW w:w="1087"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c>
          <w:tcPr>
            <w:tcW w:w="2239"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5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w:t>
            </w:r>
          </w:p>
        </w:tc>
        <w:tc>
          <w:tcPr>
            <w:tcW w:w="1005"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392"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824"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122"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13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c>
          <w:tcPr>
            <w:tcW w:w="1087"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c>
          <w:tcPr>
            <w:tcW w:w="2239"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5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p>
        </w:tc>
        <w:tc>
          <w:tcPr>
            <w:tcW w:w="1005"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392"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824"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122"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13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c>
          <w:tcPr>
            <w:tcW w:w="1087"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c>
          <w:tcPr>
            <w:tcW w:w="2239"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5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c>
          <w:tcPr>
            <w:tcW w:w="1005"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392"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824"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122"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13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c>
          <w:tcPr>
            <w:tcW w:w="1087"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c>
          <w:tcPr>
            <w:tcW w:w="2239"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5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c>
          <w:tcPr>
            <w:tcW w:w="1005"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392"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824"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122"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13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c>
          <w:tcPr>
            <w:tcW w:w="1087"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c>
          <w:tcPr>
            <w:tcW w:w="2239"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5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c>
          <w:tcPr>
            <w:tcW w:w="1005"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392"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824"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122"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13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c>
          <w:tcPr>
            <w:tcW w:w="1087"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c>
          <w:tcPr>
            <w:tcW w:w="2239"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5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c>
          <w:tcPr>
            <w:tcW w:w="1005"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392"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824"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122"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 w:hAnsi="仿宋" w:eastAsia="仿宋" w:cs="仿宋"/>
                <w:b w:val="0"/>
                <w:bCs/>
                <w:sz w:val="24"/>
                <w:szCs w:val="24"/>
                <w:highlight w:val="none"/>
              </w:rPr>
            </w:pPr>
          </w:p>
        </w:tc>
        <w:tc>
          <w:tcPr>
            <w:tcW w:w="113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c>
          <w:tcPr>
            <w:tcW w:w="1087"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c>
          <w:tcPr>
            <w:tcW w:w="2239"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874" w:type="dxa"/>
            <w:gridSpan w:val="4"/>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投标报价（小写）</w:t>
            </w:r>
          </w:p>
        </w:tc>
        <w:tc>
          <w:tcPr>
            <w:tcW w:w="5581" w:type="dxa"/>
            <w:gridSpan w:val="4"/>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874" w:type="dxa"/>
            <w:gridSpan w:val="4"/>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投标报价（大写）</w:t>
            </w:r>
          </w:p>
        </w:tc>
        <w:tc>
          <w:tcPr>
            <w:tcW w:w="5581" w:type="dxa"/>
            <w:gridSpan w:val="4"/>
            <w:noWrap w:val="0"/>
            <w:vAlign w:val="center"/>
          </w:tcPr>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val="0"/>
                <w:bCs/>
                <w:sz w:val="24"/>
                <w:szCs w:val="24"/>
                <w:highlight w:val="none"/>
              </w:rPr>
            </w:pPr>
          </w:p>
        </w:tc>
      </w:tr>
    </w:tbl>
    <w:p>
      <w:pPr>
        <w:keepNext w:val="0"/>
        <w:keepLines w:val="0"/>
        <w:pageBreakBefore w:val="0"/>
        <w:widowControl w:val="0"/>
        <w:kinsoku/>
        <w:wordWrap/>
        <w:overflowPunct/>
        <w:topLinePunct w:val="0"/>
        <w:autoSpaceDE/>
        <w:autoSpaceDN/>
        <w:bidi w:val="0"/>
        <w:snapToGrid w:val="0"/>
        <w:spacing w:line="360" w:lineRule="auto"/>
        <w:ind w:left="0" w:leftChars="0" w:firstLine="482" w:firstLineChars="200"/>
        <w:textAlignment w:val="auto"/>
        <w:rPr>
          <w:rFonts w:hint="eastAsia" w:ascii="仿宋" w:hAnsi="仿宋" w:eastAsia="仿宋" w:cs="仿宋"/>
          <w:b/>
          <w:color w:val="auto"/>
          <w:kern w:val="0"/>
          <w:sz w:val="24"/>
          <w:szCs w:val="24"/>
          <w:highlight w:val="none"/>
          <w:lang w:val="zh-CN"/>
        </w:rPr>
      </w:pPr>
      <w:r>
        <w:rPr>
          <w:rFonts w:hint="eastAsia" w:ascii="仿宋" w:hAnsi="仿宋" w:eastAsia="仿宋" w:cs="仿宋"/>
          <w:b/>
          <w:color w:val="auto"/>
          <w:kern w:val="0"/>
          <w:sz w:val="24"/>
          <w:szCs w:val="24"/>
          <w:highlight w:val="none"/>
          <w:lang w:val="zh-CN"/>
        </w:rPr>
        <w:t>注：</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zh-CN"/>
        </w:rPr>
        <w:t>投标人需按本表格式填写，不得自行更改。</w:t>
      </w:r>
    </w:p>
    <w:p>
      <w:pPr>
        <w:keepNext w:val="0"/>
        <w:keepLines w:val="0"/>
        <w:pageBreakBefore w:val="0"/>
        <w:widowControl w:val="0"/>
        <w:kinsoku/>
        <w:wordWrap/>
        <w:overflowPunct/>
        <w:topLinePunct w:val="0"/>
        <w:autoSpaceDE/>
        <w:autoSpaceDN/>
        <w:bidi w:val="0"/>
        <w:adjustRightInd w:val="0"/>
        <w:spacing w:line="360" w:lineRule="auto"/>
        <w:ind w:left="0" w:leftChars="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lang w:val="zh-CN"/>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zh-CN"/>
        </w:rPr>
        <w:t>以上表格要求细分项目及报价，在“规格型号（或具体服务）”一栏中，货物类项目填写规格型号，服务类项目填写具体服务。</w:t>
      </w:r>
    </w:p>
    <w:p>
      <w:pPr>
        <w:keepNext w:val="0"/>
        <w:keepLines w:val="0"/>
        <w:pageBreakBefore w:val="0"/>
        <w:widowControl w:val="0"/>
        <w:kinsoku/>
        <w:wordWrap/>
        <w:overflowPunct/>
        <w:topLinePunct w:val="0"/>
        <w:autoSpaceDE/>
        <w:autoSpaceDN/>
        <w:bidi w:val="0"/>
        <w:adjustRightInd w:val="0"/>
        <w:spacing w:line="360" w:lineRule="auto"/>
        <w:ind w:left="0" w:leftChars="0" w:firstLine="0" w:firstLineChars="0"/>
        <w:textAlignment w:val="auto"/>
        <w:rPr>
          <w:rFonts w:hint="eastAsia" w:ascii="仿宋" w:hAnsi="仿宋" w:eastAsia="仿宋" w:cs="仿宋"/>
          <w:color w:val="auto"/>
          <w:sz w:val="24"/>
          <w:szCs w:val="24"/>
          <w:highlight w:val="none"/>
          <w:lang w:val="zh-CN"/>
        </w:rPr>
      </w:pPr>
    </w:p>
    <w:p>
      <w:pPr>
        <w:keepNext w:val="0"/>
        <w:keepLines w:val="0"/>
        <w:pageBreakBefore w:val="0"/>
        <w:kinsoku/>
        <w:wordWrap/>
        <w:overflowPunct/>
        <w:topLinePunct w:val="0"/>
        <w:autoSpaceDE/>
        <w:autoSpaceDN/>
        <w:bidi w:val="0"/>
        <w:snapToGrid w:val="0"/>
        <w:spacing w:line="360" w:lineRule="auto"/>
        <w:rPr>
          <w:rFonts w:hint="eastAsia" w:ascii="仿宋" w:hAnsi="仿宋" w:eastAsia="仿宋" w:cs="仿宋"/>
          <w:sz w:val="24"/>
          <w:szCs w:val="24"/>
          <w:highlight w:val="none"/>
        </w:rPr>
      </w:pPr>
    </w:p>
    <w:p>
      <w:pPr>
        <w:pStyle w:val="8"/>
        <w:rPr>
          <w:rFonts w:hint="eastAsia"/>
          <w:highlight w:val="none"/>
        </w:rPr>
      </w:pPr>
    </w:p>
    <w:p>
      <w:pPr>
        <w:keepNext w:val="0"/>
        <w:keepLines w:val="0"/>
        <w:pageBreakBefore w:val="0"/>
        <w:kinsoku/>
        <w:wordWrap/>
        <w:overflowPunct/>
        <w:topLinePunct w:val="0"/>
        <w:autoSpaceDE/>
        <w:autoSpaceDN/>
        <w:bidi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法定代表人或其授权代表：</w:t>
      </w:r>
      <w:r>
        <w:rPr>
          <w:rFonts w:hint="eastAsia" w:ascii="仿宋" w:hAnsi="仿宋" w:eastAsia="仿宋" w:cs="仿宋"/>
          <w:sz w:val="24"/>
          <w:szCs w:val="24"/>
          <w:highlight w:val="none"/>
          <w:u w:val="single"/>
        </w:rPr>
        <w:t xml:space="preserve">       （签字或盖章）</w:t>
      </w:r>
    </w:p>
    <w:p>
      <w:pPr>
        <w:keepNext w:val="0"/>
        <w:keepLines w:val="0"/>
        <w:pageBreakBefore w:val="0"/>
        <w:kinsoku/>
        <w:wordWrap/>
        <w:overflowPunct/>
        <w:topLinePunct w:val="0"/>
        <w:autoSpaceDE/>
        <w:autoSpaceDN/>
        <w:bidi w:val="0"/>
        <w:snapToGrid w:val="0"/>
        <w:spacing w:line="360" w:lineRule="auto"/>
        <w:ind w:right="-817" w:rightChars="-38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投标人名称： </w:t>
      </w:r>
      <w:r>
        <w:rPr>
          <w:rFonts w:hint="eastAsia" w:ascii="仿宋" w:hAnsi="仿宋" w:eastAsia="仿宋" w:cs="仿宋"/>
          <w:sz w:val="24"/>
          <w:szCs w:val="24"/>
          <w:highlight w:val="none"/>
          <w:u w:val="single"/>
        </w:rPr>
        <w:t xml:space="preserve">                （公章）       </w:t>
      </w:r>
    </w:p>
    <w:p>
      <w:pPr>
        <w:keepNext w:val="0"/>
        <w:keepLines w:val="0"/>
        <w:pageBreakBefore w:val="0"/>
        <w:kinsoku/>
        <w:wordWrap/>
        <w:overflowPunct/>
        <w:topLinePunct w:val="0"/>
        <w:autoSpaceDE/>
        <w:autoSpaceDN/>
        <w:bidi w:val="0"/>
        <w:snapToGrid w:val="0"/>
        <w:spacing w:line="360" w:lineRule="auto"/>
        <w:ind w:right="-817" w:rightChars="-389"/>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 xml:space="preserve">    年   月   日</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pPr>
        <w:pStyle w:val="31"/>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outlineLvl w:val="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采购活动现场确认声明书</w:t>
      </w:r>
    </w:p>
    <w:p>
      <w:pPr>
        <w:pStyle w:val="31"/>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kern w:val="0"/>
          <w:sz w:val="24"/>
          <w:szCs w:val="24"/>
          <w:highlight w:val="none"/>
        </w:rPr>
        <w:t>：</w:t>
      </w:r>
    </w:p>
    <w:p>
      <w:pPr>
        <w:pStyle w:val="31"/>
        <w:keepNext w:val="0"/>
        <w:keepLines w:val="0"/>
        <w:pageBreakBefore w:val="0"/>
        <w:kinsoku/>
        <w:wordWrap/>
        <w:overflowPunct/>
        <w:topLinePunct w:val="0"/>
        <w:autoSpaceDE/>
        <w:autoSpaceDN/>
        <w:bidi w:val="0"/>
        <w:adjustRightInd w:val="0"/>
        <w:snapToGrid w:val="0"/>
        <w:spacing w:line="360" w:lineRule="auto"/>
        <w:ind w:firstLine="504" w:firstLineChars="200"/>
        <w:textAlignment w:val="auto"/>
        <w:rPr>
          <w:rFonts w:hint="eastAsia" w:ascii="仿宋" w:hAnsi="仿宋" w:eastAsia="仿宋" w:cs="仿宋"/>
          <w:spacing w:val="6"/>
          <w:sz w:val="24"/>
          <w:szCs w:val="24"/>
          <w:highlight w:val="none"/>
        </w:rPr>
      </w:pPr>
      <w:r>
        <w:rPr>
          <w:rFonts w:hint="eastAsia" w:ascii="仿宋" w:hAnsi="仿宋" w:eastAsia="仿宋" w:cs="仿宋"/>
          <w:color w:val="auto"/>
          <w:spacing w:val="6"/>
          <w:sz w:val="24"/>
          <w:szCs w:val="24"/>
          <w:highlight w:val="none"/>
        </w:rPr>
        <w:t>本人经由</w:t>
      </w:r>
      <w:r>
        <w:rPr>
          <w:rFonts w:hint="eastAsia" w:ascii="仿宋" w:hAnsi="仿宋" w:eastAsia="仿宋" w:cs="仿宋"/>
          <w:color w:val="auto"/>
          <w:spacing w:val="6"/>
          <w:sz w:val="24"/>
          <w:szCs w:val="24"/>
          <w:highlight w:val="none"/>
          <w:u w:val="single"/>
        </w:rPr>
        <w:t xml:space="preserve">                  （单位）</w:t>
      </w:r>
      <w:r>
        <w:rPr>
          <w:rFonts w:hint="eastAsia" w:ascii="仿宋" w:hAnsi="仿宋" w:eastAsia="仿宋" w:cs="仿宋"/>
          <w:color w:val="auto"/>
          <w:spacing w:val="6"/>
          <w:sz w:val="24"/>
          <w:szCs w:val="24"/>
          <w:highlight w:val="none"/>
        </w:rPr>
        <w:t>负责人</w:t>
      </w:r>
      <w:r>
        <w:rPr>
          <w:rFonts w:hint="eastAsia" w:ascii="仿宋" w:hAnsi="仿宋" w:eastAsia="仿宋" w:cs="仿宋"/>
          <w:color w:val="auto"/>
          <w:spacing w:val="6"/>
          <w:sz w:val="24"/>
          <w:szCs w:val="24"/>
          <w:highlight w:val="none"/>
          <w:u w:val="single"/>
        </w:rPr>
        <w:t xml:space="preserve">        （姓名）</w:t>
      </w:r>
      <w:r>
        <w:rPr>
          <w:rFonts w:hint="eastAsia" w:ascii="仿宋" w:hAnsi="仿宋" w:eastAsia="仿宋" w:cs="仿宋"/>
          <w:color w:val="auto"/>
          <w:spacing w:val="6"/>
          <w:sz w:val="24"/>
          <w:szCs w:val="24"/>
          <w:highlight w:val="none"/>
        </w:rPr>
        <w:t>合法授权参加</w:t>
      </w:r>
      <w:r>
        <w:rPr>
          <w:rFonts w:hint="eastAsia" w:ascii="仿宋" w:hAnsi="仿宋" w:eastAsia="仿宋" w:cs="仿宋"/>
          <w:color w:val="auto"/>
          <w:spacing w:val="6"/>
          <w:sz w:val="24"/>
          <w:szCs w:val="24"/>
          <w:highlight w:val="none"/>
          <w:u w:val="single"/>
          <w:lang w:eastAsia="zh-CN"/>
        </w:rPr>
        <w:t>会议室设备采购项目</w:t>
      </w:r>
      <w:r>
        <w:rPr>
          <w:rFonts w:hint="eastAsia" w:ascii="仿宋" w:hAnsi="仿宋" w:eastAsia="仿宋" w:cs="仿宋"/>
          <w:color w:val="auto"/>
          <w:spacing w:val="6"/>
          <w:sz w:val="24"/>
          <w:szCs w:val="24"/>
          <w:highlight w:val="none"/>
        </w:rPr>
        <w:t>（编号：</w:t>
      </w:r>
      <w:r>
        <w:rPr>
          <w:rFonts w:hint="eastAsia" w:ascii="仿宋" w:hAnsi="仿宋" w:eastAsia="仿宋" w:cs="仿宋"/>
          <w:color w:val="auto"/>
          <w:spacing w:val="6"/>
          <w:sz w:val="24"/>
          <w:szCs w:val="24"/>
          <w:highlight w:val="none"/>
          <w:u w:val="single"/>
          <w:lang w:eastAsia="zh-CN"/>
        </w:rPr>
        <w:t>LSZX-2024-CG0148</w:t>
      </w:r>
      <w:r>
        <w:rPr>
          <w:rFonts w:hint="eastAsia" w:ascii="仿宋" w:hAnsi="仿宋" w:eastAsia="仿宋" w:cs="仿宋"/>
          <w:color w:val="auto"/>
          <w:spacing w:val="6"/>
          <w:sz w:val="24"/>
          <w:szCs w:val="24"/>
          <w:highlight w:val="none"/>
          <w:u w:val="none"/>
          <w:lang w:eastAsia="zh-CN"/>
        </w:rPr>
        <w:t>）</w:t>
      </w:r>
      <w:r>
        <w:rPr>
          <w:rFonts w:hint="eastAsia" w:ascii="仿宋" w:hAnsi="仿宋" w:eastAsia="仿宋" w:cs="仿宋"/>
          <w:color w:val="auto"/>
          <w:spacing w:val="6"/>
          <w:sz w:val="24"/>
          <w:szCs w:val="24"/>
          <w:highlight w:val="none"/>
        </w:rPr>
        <w:t>采</w:t>
      </w:r>
      <w:r>
        <w:rPr>
          <w:rFonts w:hint="eastAsia" w:ascii="仿宋" w:hAnsi="仿宋" w:eastAsia="仿宋" w:cs="仿宋"/>
          <w:spacing w:val="6"/>
          <w:sz w:val="24"/>
          <w:szCs w:val="24"/>
          <w:highlight w:val="none"/>
        </w:rPr>
        <w:t xml:space="preserve">购活动，经与本单位法人代表（负责人）联系确认，现就有关公平竞争事项郑重声明如下： </w:t>
      </w:r>
    </w:p>
    <w:p>
      <w:pPr>
        <w:pStyle w:val="32"/>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一、本单位与采购人之间 □不存在利害关系 □存在下列利害关系</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pStyle w:val="32"/>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A.投资关系    B.行政隶属关系    C.业务指导关系</w:t>
      </w:r>
    </w:p>
    <w:p>
      <w:pPr>
        <w:pStyle w:val="32"/>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D.其他可能</w:t>
      </w:r>
      <w:r>
        <w:rPr>
          <w:rFonts w:hint="eastAsia" w:ascii="仿宋" w:hAnsi="仿宋" w:eastAsia="仿宋" w:cs="仿宋"/>
          <w:sz w:val="24"/>
          <w:szCs w:val="24"/>
          <w:highlight w:val="none"/>
        </w:rPr>
        <w:t>影响采购公正的</w:t>
      </w:r>
      <w:r>
        <w:rPr>
          <w:rFonts w:hint="eastAsia" w:ascii="仿宋" w:hAnsi="仿宋" w:eastAsia="仿宋" w:cs="仿宋"/>
          <w:kern w:val="0"/>
          <w:sz w:val="24"/>
          <w:szCs w:val="24"/>
          <w:highlight w:val="none"/>
        </w:rPr>
        <w:t>利害关系</w:t>
      </w:r>
      <w:r>
        <w:rPr>
          <w:rFonts w:hint="eastAsia" w:ascii="仿宋" w:hAnsi="仿宋" w:eastAsia="仿宋" w:cs="仿宋"/>
          <w:kern w:val="0"/>
          <w:sz w:val="24"/>
          <w:szCs w:val="24"/>
          <w:highlight w:val="none"/>
          <w:u w:val="single"/>
        </w:rPr>
        <w:t xml:space="preserve">（如有，请如实说明）                 </w:t>
      </w:r>
      <w:r>
        <w:rPr>
          <w:rFonts w:hint="eastAsia" w:ascii="仿宋" w:hAnsi="仿宋" w:eastAsia="仿宋" w:cs="仿宋"/>
          <w:kern w:val="0"/>
          <w:sz w:val="24"/>
          <w:szCs w:val="24"/>
          <w:highlight w:val="none"/>
        </w:rPr>
        <w:t>。</w:t>
      </w:r>
    </w:p>
    <w:p>
      <w:pPr>
        <w:pStyle w:val="32"/>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4"/>
          <w:szCs w:val="24"/>
          <w:highlight w:val="none"/>
        </w:rPr>
      </w:pPr>
      <w:r>
        <w:rPr>
          <w:rFonts w:hint="eastAsia" w:ascii="仿宋" w:hAnsi="仿宋" w:eastAsia="仿宋" w:cs="仿宋"/>
          <w:spacing w:val="6"/>
          <w:sz w:val="24"/>
          <w:szCs w:val="24"/>
          <w:highlight w:val="none"/>
        </w:rPr>
        <w:t xml:space="preserve">  二、</w:t>
      </w:r>
      <w:r>
        <w:rPr>
          <w:rFonts w:hint="eastAsia" w:ascii="仿宋" w:hAnsi="仿宋" w:eastAsia="仿宋" w:cs="仿宋"/>
          <w:kern w:val="0"/>
          <w:sz w:val="24"/>
          <w:szCs w:val="24"/>
          <w:highlight w:val="none"/>
        </w:rPr>
        <w:t>现已清楚知道参加本项目采购活动的其他所有供应商名称，本单位 □与其他所有供应商之间均不存在利害关系 □与</w:t>
      </w:r>
      <w:r>
        <w:rPr>
          <w:rFonts w:hint="eastAsia" w:ascii="仿宋" w:hAnsi="仿宋" w:eastAsia="仿宋" w:cs="仿宋"/>
          <w:kern w:val="0"/>
          <w:sz w:val="24"/>
          <w:szCs w:val="24"/>
          <w:highlight w:val="none"/>
          <w:u w:val="single"/>
        </w:rPr>
        <w:t xml:space="preserve">           （供应商名称）</w:t>
      </w:r>
      <w:r>
        <w:rPr>
          <w:rFonts w:hint="eastAsia" w:ascii="仿宋" w:hAnsi="仿宋" w:eastAsia="仿宋" w:cs="仿宋"/>
          <w:kern w:val="0"/>
          <w:sz w:val="24"/>
          <w:szCs w:val="24"/>
          <w:highlight w:val="none"/>
        </w:rPr>
        <w:t>之间存在下列利害关系</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pStyle w:val="31"/>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A.法定代表人或负责人或实际控制人是同一人</w:t>
      </w:r>
    </w:p>
    <w:p>
      <w:pPr>
        <w:pStyle w:val="31"/>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pacing w:val="6"/>
          <w:sz w:val="24"/>
          <w:szCs w:val="24"/>
          <w:highlight w:val="none"/>
        </w:rPr>
      </w:pPr>
      <w:r>
        <w:rPr>
          <w:rFonts w:hint="eastAsia" w:ascii="仿宋" w:hAnsi="仿宋" w:eastAsia="仿宋" w:cs="仿宋"/>
          <w:kern w:val="0"/>
          <w:sz w:val="24"/>
          <w:szCs w:val="24"/>
          <w:highlight w:val="none"/>
        </w:rPr>
        <w:t xml:space="preserve">  B.法定代表人或负责人或实际控制人是夫妻关系</w:t>
      </w:r>
    </w:p>
    <w:p>
      <w:pPr>
        <w:pStyle w:val="31"/>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pacing w:val="6"/>
          <w:sz w:val="24"/>
          <w:szCs w:val="24"/>
          <w:highlight w:val="none"/>
        </w:rPr>
      </w:pPr>
      <w:r>
        <w:rPr>
          <w:rFonts w:hint="eastAsia" w:ascii="仿宋" w:hAnsi="仿宋" w:eastAsia="仿宋" w:cs="仿宋"/>
          <w:kern w:val="0"/>
          <w:sz w:val="24"/>
          <w:szCs w:val="24"/>
          <w:highlight w:val="none"/>
        </w:rPr>
        <w:t xml:space="preserve">  C.法定代表人或负责人或实际控制人是直系血亲关系</w:t>
      </w:r>
    </w:p>
    <w:p>
      <w:pPr>
        <w:pStyle w:val="31"/>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pacing w:val="6"/>
          <w:sz w:val="24"/>
          <w:szCs w:val="24"/>
          <w:highlight w:val="none"/>
        </w:rPr>
      </w:pPr>
      <w:r>
        <w:rPr>
          <w:rFonts w:hint="eastAsia" w:ascii="仿宋" w:hAnsi="仿宋" w:eastAsia="仿宋" w:cs="仿宋"/>
          <w:kern w:val="0"/>
          <w:sz w:val="24"/>
          <w:szCs w:val="24"/>
          <w:highlight w:val="none"/>
        </w:rPr>
        <w:t xml:space="preserve">  D.法定代表人或负责人或实际控制人存在三代以内旁系血亲关系</w:t>
      </w:r>
    </w:p>
    <w:p>
      <w:pPr>
        <w:pStyle w:val="31"/>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E.法定代表人或负责人或实际控制人存在近姻亲关系</w:t>
      </w:r>
    </w:p>
    <w:p>
      <w:pPr>
        <w:pStyle w:val="31"/>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F.法定代表人或负责人或实际控制人存在股份控制或实际控制关系</w:t>
      </w:r>
    </w:p>
    <w:p>
      <w:pPr>
        <w:pStyle w:val="31"/>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G.存在共同直接或间接投资设立子公司、联营企业和合营企业情况</w:t>
      </w:r>
    </w:p>
    <w:p>
      <w:pPr>
        <w:pStyle w:val="31"/>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 xml:space="preserve">  H.存在分级代理或代销关系、同一生产制造商关系、</w:t>
      </w:r>
      <w:r>
        <w:rPr>
          <w:rFonts w:hint="eastAsia" w:ascii="仿宋" w:hAnsi="仿宋" w:eastAsia="仿宋" w:cs="仿宋"/>
          <w:sz w:val="24"/>
          <w:szCs w:val="24"/>
          <w:highlight w:val="none"/>
        </w:rPr>
        <w:t>管理关系、重要业务（占主营业务收入50%以上）或重要财务往来关系（如融资）等其他实质性控制关系</w:t>
      </w:r>
    </w:p>
    <w:p>
      <w:pPr>
        <w:pStyle w:val="31"/>
        <w:keepNext w:val="0"/>
        <w:keepLines w:val="0"/>
        <w:pageBreakBefore w:val="0"/>
        <w:kinsoku/>
        <w:wordWrap/>
        <w:overflowPunct/>
        <w:topLinePunct w:val="0"/>
        <w:autoSpaceDE/>
        <w:autoSpaceDN/>
        <w:bidi w:val="0"/>
        <w:adjustRightInd w:val="0"/>
        <w:snapToGrid w:val="0"/>
        <w:spacing w:line="360" w:lineRule="auto"/>
        <w:ind w:firstLine="240" w:firstLineChars="100"/>
        <w:textAlignment w:val="auto"/>
        <w:outlineLvl w:val="0"/>
        <w:rPr>
          <w:rFonts w:hint="eastAsia" w:ascii="仿宋" w:hAnsi="仿宋" w:eastAsia="仿宋" w:cs="仿宋"/>
          <w:spacing w:val="6"/>
          <w:sz w:val="24"/>
          <w:szCs w:val="24"/>
          <w:highlight w:val="none"/>
        </w:rPr>
      </w:pPr>
      <w:bookmarkStart w:id="202" w:name="_Toc31860"/>
      <w:r>
        <w:rPr>
          <w:rFonts w:hint="eastAsia" w:ascii="仿宋" w:hAnsi="仿宋" w:eastAsia="仿宋" w:cs="仿宋"/>
          <w:sz w:val="24"/>
          <w:szCs w:val="24"/>
          <w:highlight w:val="none"/>
        </w:rPr>
        <w:t>I</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其他利害关系情况</w:t>
      </w:r>
      <w:r>
        <w:rPr>
          <w:rFonts w:hint="eastAsia" w:ascii="仿宋" w:hAnsi="仿宋" w:eastAsia="仿宋" w:cs="仿宋"/>
          <w:sz w:val="24"/>
          <w:szCs w:val="24"/>
          <w:highlight w:val="none"/>
          <w:u w:val="single"/>
        </w:rPr>
        <w:t xml:space="preserve">                              </w:t>
      </w:r>
      <w:r>
        <w:rPr>
          <w:rFonts w:hint="eastAsia" w:ascii="仿宋" w:hAnsi="仿宋" w:eastAsia="仿宋" w:cs="仿宋"/>
          <w:kern w:val="0"/>
          <w:sz w:val="24"/>
          <w:szCs w:val="24"/>
          <w:highlight w:val="none"/>
        </w:rPr>
        <w:t>。</w:t>
      </w:r>
      <w:bookmarkEnd w:id="202"/>
    </w:p>
    <w:p>
      <w:pPr>
        <w:pStyle w:val="32"/>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三、现已清楚知道并</w:t>
      </w:r>
      <w:r>
        <w:rPr>
          <w:rFonts w:hint="eastAsia" w:ascii="仿宋" w:hAnsi="仿宋" w:eastAsia="仿宋" w:cs="仿宋"/>
          <w:kern w:val="0"/>
          <w:sz w:val="24"/>
          <w:szCs w:val="24"/>
          <w:highlight w:val="none"/>
        </w:rPr>
        <w:t>严格遵守采购法律法规和现场纪律。</w:t>
      </w:r>
    </w:p>
    <w:p>
      <w:pPr>
        <w:pStyle w:val="32"/>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四、我发现</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供应商之间存在或可能存在上述第二条第</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项利害关系。</w:t>
      </w:r>
    </w:p>
    <w:p>
      <w:pPr>
        <w:pStyle w:val="32"/>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仿宋" w:hAnsi="仿宋" w:eastAsia="仿宋" w:cs="仿宋"/>
          <w:kern w:val="0"/>
          <w:sz w:val="24"/>
          <w:szCs w:val="24"/>
          <w:highlight w:val="none"/>
        </w:rPr>
      </w:pPr>
    </w:p>
    <w:p>
      <w:pPr>
        <w:pStyle w:val="31"/>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供应商代表签名：</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u w:val="single"/>
        </w:rPr>
        <w:t xml:space="preserve">    年   月   日</w:t>
      </w:r>
    </w:p>
    <w:p>
      <w:pPr>
        <w:pStyle w:val="31"/>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highlight w:val="none"/>
          <w:lang w:val="en-US" w:eastAsia="zh-CN"/>
        </w:rPr>
      </w:pPr>
    </w:p>
    <w:p>
      <w:pPr>
        <w:pStyle w:val="31"/>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highlight w:val="none"/>
        </w:rPr>
      </w:pPr>
      <w:r>
        <w:rPr>
          <w:rFonts w:hint="eastAsia" w:ascii="仿宋" w:hAnsi="仿宋" w:eastAsia="仿宋" w:cs="仿宋"/>
          <w:sz w:val="21"/>
          <w:szCs w:val="21"/>
          <w:highlight w:val="none"/>
          <w:lang w:val="en-US" w:eastAsia="zh-CN"/>
        </w:rPr>
        <w:t>注：</w:t>
      </w:r>
      <w:r>
        <w:rPr>
          <w:rFonts w:hint="eastAsia" w:ascii="仿宋" w:hAnsi="仿宋" w:eastAsia="仿宋" w:cs="仿宋"/>
          <w:color w:val="auto"/>
          <w:sz w:val="21"/>
          <w:szCs w:val="21"/>
          <w:highlight w:val="none"/>
          <w:lang w:val="en-US" w:eastAsia="zh-CN"/>
        </w:rPr>
        <w:t>投标人在结束解密后30分钟内将填写完整且经授权代表签署的《采购活动现场确认声明书》扫描件发至经办人邮箱（邮箱地址：872932340@qq.com）</w:t>
      </w:r>
    </w:p>
    <w:p>
      <w:pPr>
        <w:pStyle w:val="31"/>
        <w:adjustRightInd w:val="0"/>
        <w:snapToGrid w:val="0"/>
        <w:spacing w:line="396" w:lineRule="auto"/>
        <w:ind w:firstLine="480" w:firstLineChars="200"/>
        <w:rPr>
          <w:rFonts w:hint="eastAsia" w:ascii="仿宋" w:hAnsi="仿宋" w:eastAsia="仿宋" w:cs="仿宋"/>
          <w:highlight w:val="none"/>
        </w:rPr>
      </w:pPr>
    </w:p>
    <w:sectPr>
      <w:headerReference r:id="rId8" w:type="default"/>
      <w:footerReference r:id="rId9" w:type="default"/>
      <w:pgSz w:w="11922" w:h="16838"/>
      <w:pgMar w:top="1417" w:right="1304" w:bottom="1417" w:left="1304" w:header="397" w:footer="103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787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a:noFill/>
                      </a:ln>
                      <a:effectLst/>
                    </wps:spPr>
                    <wps:txbx>
                      <w:txbxContent>
                        <w:p>
                          <w:pPr>
                            <w:pStyle w:val="1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uNj1nRAAAAAwEAAA8AAAAAAAAAAQAgAAAAIgAAAGRy&#10;cy9kb3ducmV2LnhtbFBLAQIUABQAAAAIAIdO4kDVcjvw0wEAAKUDAAAOAAAAAAAAAAEAIAAAACAB&#10;AABkcnMvZTJvRG9jLnhtbFBLBQYAAAAABgAGAFkBAABlBQAAAAA=&#10;">
              <v:fill on="f" focussize="0,0"/>
              <v:stroke on="f"/>
              <v:imagedata o:title=""/>
              <o:lock v:ext="edit" aspectratio="f"/>
              <v:textbox inset="0mm,0mm,0mm,0mm" style="mso-fit-shape-to-text:t;">
                <w:txbxContent>
                  <w:p>
                    <w:pPr>
                      <w:pStyle w:val="1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500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500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eastAsia="华文仿宋"/>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eastAsia="华文仿宋"/>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538F37"/>
    <w:multiLevelType w:val="singleLevel"/>
    <w:tmpl w:val="16538F3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zOTlmZjE2MzQ1MWM1ZTFiY2ZlNGM0YjJiYmQ0YzgifQ=="/>
    <w:docVar w:name="KSO_WPS_MARK_KEY" w:val="3fc02192-3848-4e22-9c08-4f52788bdd44"/>
  </w:docVars>
  <w:rsids>
    <w:rsidRoot w:val="481B5E76"/>
    <w:rsid w:val="00381040"/>
    <w:rsid w:val="009A5989"/>
    <w:rsid w:val="00DD3578"/>
    <w:rsid w:val="03304250"/>
    <w:rsid w:val="04133956"/>
    <w:rsid w:val="05593FFC"/>
    <w:rsid w:val="06AC6E91"/>
    <w:rsid w:val="06C37391"/>
    <w:rsid w:val="088745EB"/>
    <w:rsid w:val="0AA0182E"/>
    <w:rsid w:val="0B3A5C6C"/>
    <w:rsid w:val="0C067CE6"/>
    <w:rsid w:val="0CC84F03"/>
    <w:rsid w:val="11C73FD2"/>
    <w:rsid w:val="13191EB8"/>
    <w:rsid w:val="159C5BE1"/>
    <w:rsid w:val="15B354C2"/>
    <w:rsid w:val="185B5474"/>
    <w:rsid w:val="18822A00"/>
    <w:rsid w:val="1A38668E"/>
    <w:rsid w:val="1B684130"/>
    <w:rsid w:val="1EC178F6"/>
    <w:rsid w:val="1F132604"/>
    <w:rsid w:val="1F491798"/>
    <w:rsid w:val="222404B4"/>
    <w:rsid w:val="22BE4F7D"/>
    <w:rsid w:val="23160915"/>
    <w:rsid w:val="240134CF"/>
    <w:rsid w:val="241A2687"/>
    <w:rsid w:val="2790207E"/>
    <w:rsid w:val="29E10B9A"/>
    <w:rsid w:val="29FD3653"/>
    <w:rsid w:val="2A45724D"/>
    <w:rsid w:val="2A5148CF"/>
    <w:rsid w:val="2B6A08FF"/>
    <w:rsid w:val="2E76634D"/>
    <w:rsid w:val="2F2F57BC"/>
    <w:rsid w:val="308F4A85"/>
    <w:rsid w:val="31225916"/>
    <w:rsid w:val="33AD1098"/>
    <w:rsid w:val="341113B0"/>
    <w:rsid w:val="38444634"/>
    <w:rsid w:val="39DD3B1F"/>
    <w:rsid w:val="39E22DB1"/>
    <w:rsid w:val="3B9F5ADD"/>
    <w:rsid w:val="3C215F09"/>
    <w:rsid w:val="4034558A"/>
    <w:rsid w:val="40BC1BEE"/>
    <w:rsid w:val="43A72998"/>
    <w:rsid w:val="47407E8E"/>
    <w:rsid w:val="481B5E76"/>
    <w:rsid w:val="49BE5349"/>
    <w:rsid w:val="4C8D0676"/>
    <w:rsid w:val="4CD314A1"/>
    <w:rsid w:val="4D573E80"/>
    <w:rsid w:val="4F0144C9"/>
    <w:rsid w:val="4F6A7B17"/>
    <w:rsid w:val="4FB8497E"/>
    <w:rsid w:val="542A1F4B"/>
    <w:rsid w:val="5642415E"/>
    <w:rsid w:val="56486A5C"/>
    <w:rsid w:val="5A8E07B6"/>
    <w:rsid w:val="5B074010"/>
    <w:rsid w:val="5B7E4997"/>
    <w:rsid w:val="5B885B4D"/>
    <w:rsid w:val="5BEA2363"/>
    <w:rsid w:val="5C2066E2"/>
    <w:rsid w:val="5E283B12"/>
    <w:rsid w:val="5E756564"/>
    <w:rsid w:val="5E916AC6"/>
    <w:rsid w:val="5F7F1A41"/>
    <w:rsid w:val="5F9C4CD3"/>
    <w:rsid w:val="5FE86E66"/>
    <w:rsid w:val="61467FF0"/>
    <w:rsid w:val="624B4DDD"/>
    <w:rsid w:val="65FE55BD"/>
    <w:rsid w:val="66454535"/>
    <w:rsid w:val="67094F17"/>
    <w:rsid w:val="67EE3502"/>
    <w:rsid w:val="68017EDE"/>
    <w:rsid w:val="6B1D1B77"/>
    <w:rsid w:val="6B29693C"/>
    <w:rsid w:val="6CAB02AA"/>
    <w:rsid w:val="6D77332B"/>
    <w:rsid w:val="6D8167B7"/>
    <w:rsid w:val="6EE92007"/>
    <w:rsid w:val="6F9E1043"/>
    <w:rsid w:val="72B43CCF"/>
    <w:rsid w:val="72B90A93"/>
    <w:rsid w:val="72DB541E"/>
    <w:rsid w:val="739B6141"/>
    <w:rsid w:val="74AE0D2F"/>
    <w:rsid w:val="74E6389D"/>
    <w:rsid w:val="758EE7BB"/>
    <w:rsid w:val="76681DA2"/>
    <w:rsid w:val="76B45B43"/>
    <w:rsid w:val="77D06809"/>
    <w:rsid w:val="77D34FAC"/>
    <w:rsid w:val="7896CDA7"/>
    <w:rsid w:val="7A7651AA"/>
    <w:rsid w:val="7ACA62D2"/>
    <w:rsid w:val="7BFF341C"/>
    <w:rsid w:val="7E25259E"/>
    <w:rsid w:val="BF2F3F1D"/>
    <w:rsid w:val="DF671746"/>
    <w:rsid w:val="EDEB7BA0"/>
    <w:rsid w:val="F76E9CF4"/>
    <w:rsid w:val="FFF991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宋体"/>
      <w:spacing w:val="0"/>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黑体"/>
      <w:b/>
      <w:bCs/>
      <w:spacing w:val="20"/>
      <w:kern w:val="52"/>
      <w:sz w:val="56"/>
      <w:szCs w:val="24"/>
    </w:rPr>
  </w:style>
  <w:style w:type="paragraph" w:styleId="3">
    <w:name w:val="Body Text First Indent"/>
    <w:basedOn w:val="2"/>
    <w:next w:val="1"/>
    <w:qFormat/>
    <w:uiPriority w:val="0"/>
    <w:pPr>
      <w:adjustRightInd w:val="0"/>
      <w:spacing w:after="120" w:line="360" w:lineRule="auto"/>
      <w:ind w:firstLine="420"/>
      <w:textAlignment w:val="baseline"/>
    </w:pPr>
    <w:rPr>
      <w:rFonts w:ascii="Calibri" w:hAnsi="Calibri" w:eastAsia="楷体_GB2312"/>
      <w:kern w:val="0"/>
      <w:sz w:val="24"/>
    </w:rPr>
  </w:style>
  <w:style w:type="paragraph" w:styleId="6">
    <w:name w:val="annotation text"/>
    <w:basedOn w:val="1"/>
    <w:qFormat/>
    <w:uiPriority w:val="0"/>
    <w:pPr>
      <w:jc w:val="left"/>
    </w:pPr>
  </w:style>
  <w:style w:type="paragraph" w:styleId="7">
    <w:name w:val="Body Text Indent"/>
    <w:basedOn w:val="1"/>
    <w:next w:val="1"/>
    <w:qFormat/>
    <w:uiPriority w:val="0"/>
    <w:pPr>
      <w:spacing w:line="360" w:lineRule="auto"/>
      <w:ind w:firstLine="435"/>
    </w:pPr>
    <w:rPr>
      <w:sz w:val="28"/>
      <w:szCs w:val="24"/>
    </w:rPr>
  </w:style>
  <w:style w:type="paragraph" w:styleId="8">
    <w:name w:val="List 2"/>
    <w:basedOn w:val="1"/>
    <w:qFormat/>
    <w:uiPriority w:val="0"/>
    <w:pPr>
      <w:spacing w:after="120" w:line="400" w:lineRule="exact"/>
      <w:ind w:left="0" w:firstLine="0" w:firstLineChars="0"/>
    </w:pPr>
    <w:rPr>
      <w:sz w:val="24"/>
      <w:szCs w:val="20"/>
    </w:rPr>
  </w:style>
  <w:style w:type="paragraph" w:styleId="9">
    <w:name w:val="Plain Text"/>
    <w:basedOn w:val="1"/>
    <w:next w:val="1"/>
    <w:qFormat/>
    <w:uiPriority w:val="0"/>
    <w:rPr>
      <w:rFonts w:ascii="宋体" w:hAnsi="Courier New"/>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pPr>
      <w:spacing w:before="120" w:after="120"/>
      <w:jc w:val="left"/>
    </w:pPr>
    <w:rPr>
      <w:rFonts w:cs="Calibri"/>
      <w:b/>
      <w:bCs/>
      <w:caps/>
      <w:sz w:val="20"/>
      <w:szCs w:val="20"/>
    </w:rPr>
  </w:style>
  <w:style w:type="paragraph" w:styleId="13">
    <w:name w:val="toc 6"/>
    <w:basedOn w:val="1"/>
    <w:next w:val="1"/>
    <w:qFormat/>
    <w:uiPriority w:val="39"/>
    <w:pPr>
      <w:ind w:left="1050"/>
      <w:jc w:val="left"/>
    </w:pPr>
    <w:rPr>
      <w:rFonts w:ascii="仿宋_GB2312" w:eastAsia="仿宋_GB2312"/>
      <w:sz w:val="18"/>
      <w:szCs w:val="18"/>
    </w:rPr>
  </w:style>
  <w:style w:type="paragraph" w:styleId="14">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style>
  <w:style w:type="paragraph" w:styleId="15">
    <w:name w:val="Body Text First Indent 2"/>
    <w:basedOn w:val="7"/>
    <w:next w:val="3"/>
    <w:qFormat/>
    <w:uiPriority w:val="0"/>
    <w:pPr>
      <w:spacing w:after="120" w:afterLines="0"/>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basedOn w:val="18"/>
    <w:qFormat/>
    <w:uiPriority w:val="0"/>
    <w:rPr>
      <w:i/>
    </w:rPr>
  </w:style>
  <w:style w:type="character" w:styleId="20">
    <w:name w:val="Hyperlink"/>
    <w:qFormat/>
    <w:uiPriority w:val="99"/>
    <w:rPr>
      <w:color w:val="0000FF"/>
      <w:u w:val="single"/>
    </w:rPr>
  </w:style>
  <w:style w:type="paragraph" w:customStyle="1" w:styleId="21">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表格文字"/>
    <w:basedOn w:val="1"/>
    <w:next w:val="2"/>
    <w:qFormat/>
    <w:uiPriority w:val="0"/>
    <w:pPr>
      <w:spacing w:line="420" w:lineRule="atLeast"/>
      <w:textAlignment w:val="baseline"/>
    </w:pPr>
  </w:style>
  <w:style w:type="paragraph" w:customStyle="1" w:styleId="24">
    <w:name w:val="_Style 3"/>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纯文本1"/>
    <w:basedOn w:val="1"/>
    <w:qFormat/>
    <w:uiPriority w:val="99"/>
    <w:rPr>
      <w:rFonts w:ascii="宋体" w:hAnsi="Courier New"/>
    </w:rPr>
  </w:style>
  <w:style w:type="paragraph" w:customStyle="1" w:styleId="26">
    <w:name w:val="正文文本缩进1"/>
    <w:basedOn w:val="1"/>
    <w:qFormat/>
    <w:uiPriority w:val="0"/>
    <w:pPr>
      <w:spacing w:after="120"/>
      <w:ind w:left="420" w:leftChars="200"/>
    </w:pPr>
    <w:rPr>
      <w:sz w:val="24"/>
      <w:szCs w:val="20"/>
    </w:rPr>
  </w:style>
  <w:style w:type="character" w:customStyle="1" w:styleId="27">
    <w:name w:val="标题 2 Char"/>
    <w:qFormat/>
    <w:uiPriority w:val="9"/>
    <w:rPr>
      <w:rFonts w:ascii="宋体" w:hAnsi="宋体" w:eastAsia="黑体"/>
      <w:b/>
      <w:bCs/>
      <w:kern w:val="2"/>
      <w:sz w:val="24"/>
      <w:szCs w:val="32"/>
      <w:lang w:val="en-US" w:eastAsia="zh-CN" w:bidi="ar-SA"/>
    </w:rPr>
  </w:style>
  <w:style w:type="paragraph" w:customStyle="1" w:styleId="2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9">
    <w:name w:val="参数表格"/>
    <w:basedOn w:val="30"/>
    <w:qFormat/>
    <w:uiPriority w:val="0"/>
    <w:pPr>
      <w:ind w:firstLine="0" w:firstLineChars="0"/>
    </w:pPr>
    <w:rPr>
      <w:rFonts w:ascii="Times New Roman" w:hAnsi="Times New Roman" w:eastAsia="宋体" w:cs="Times New Roman"/>
    </w:rPr>
  </w:style>
  <w:style w:type="paragraph" w:customStyle="1" w:styleId="30">
    <w:name w:val="参数正文"/>
    <w:basedOn w:val="1"/>
    <w:qFormat/>
    <w:uiPriority w:val="0"/>
    <w:pPr>
      <w:spacing w:line="360" w:lineRule="auto"/>
      <w:ind w:firstLine="480" w:firstLineChars="200"/>
      <w:jc w:val="left"/>
    </w:pPr>
    <w:rPr>
      <w:rFonts w:ascii="宋体" w:hAnsi="宋体" w:eastAsia="宋体" w:cs="Times New Roman"/>
      <w:sz w:val="24"/>
      <w:szCs w:val="24"/>
    </w:rPr>
  </w:style>
  <w:style w:type="paragraph" w:customStyle="1" w:styleId="31">
    <w:name w:val="Plain Text"/>
    <w:basedOn w:val="1"/>
    <w:qFormat/>
    <w:uiPriority w:val="0"/>
    <w:rPr>
      <w:rFonts w:hint="default" w:ascii="宋体" w:hAnsi="Courier New"/>
      <w:sz w:val="24"/>
      <w:szCs w:val="24"/>
    </w:rPr>
  </w:style>
  <w:style w:type="paragraph" w:customStyle="1" w:styleId="32">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33">
    <w:name w:val="font31"/>
    <w:basedOn w:val="18"/>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33731</Words>
  <Characters>37429</Characters>
  <Lines>1</Lines>
  <Paragraphs>1</Paragraphs>
  <TotalTime>3</TotalTime>
  <ScaleCrop>false</ScaleCrop>
  <LinksUpToDate>false</LinksUpToDate>
  <CharactersWithSpaces>39639</CharactersWithSpaces>
  <Application>WPS Office_11.1.0.11757_F1E327BC-269C-435d-A152-05C5408002CA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2023-09-27T08:02:00Z</dcterms:created>
  <dc:creator>vicy</dc:creator>
  <cp:lastModifiedBy>方鑫</cp:lastModifiedBy>
  <dcterms:modified xsi:type="dcterms:W3CDTF">2024-06-21T09:02:30Z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2052-11.1.0.11757</vt:lpwstr>
  </property>
  <property fmtid="{D5CDD505-2E9C-101B-9397-08002B2CF9AE}" pid="3" name="ICV">
    <vt:lpwstr>AA0289F56E484B1C9EE0F7C371E34AB9</vt:lpwstr>
  </property>
</Properties>
</file>