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8D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2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val="en-US" w:eastAsia="zh-CN"/>
        </w:rPr>
        <w:t>1：</w:t>
      </w:r>
    </w:p>
    <w:p w14:paraId="10D91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采购内容及要求</w:t>
      </w:r>
    </w:p>
    <w:p w14:paraId="71FD653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项目概况</w:t>
      </w:r>
    </w:p>
    <w:p w14:paraId="28CF16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为加强衢州市信安水电开发有限公司下辖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红船豆电站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河道水面保洁实行市场化运作，确保河道水面无漂浮垃圾、无杂草、无废弃物、无障碍物、无动物死尸等切实改善水生态环境，实现“水清、流畅、景美”的目标。</w:t>
      </w:r>
    </w:p>
    <w:p w14:paraId="29E02EA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  <w:lang w:eastAsia="zh-CN"/>
        </w:rPr>
        <w:t>采购服务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范围</w:t>
      </w:r>
    </w:p>
    <w:p w14:paraId="1A8DA0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" w:right="76" w:firstLine="52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河道保洁项目水面保洁范围为：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  <w:t>红船豆电站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、泄洪闸、上游200米、下游500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米；电站进水口（电站打捞垃圾）清运，电站进水口处拦污栅处及检修闸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门孔每年一次清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理，以及亲水平台和护坡上的淤泥、垃圾、杂草清理等工作内容，河道中打捞垃圾（含电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站进水口处打捞的垃圾）运至有资质的垃圾处置单位，红船豆段河面宽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约494米。</w:t>
      </w:r>
    </w:p>
    <w:p w14:paraId="4FEB0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" w:right="76" w:firstLine="53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水面保洁正常工作时间为08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00-18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00，每天一班，因保洁区域集中，根据保洁工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作量，本项目设置安排船舶1艘（用于垃圾打捞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相应配备保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洁员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2人、机动垃圾船驾驶员1人，垃圾装运车驾驶员1人，并按项目实施的实际需要和管理要求配备垃圾装运车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辆1辆（符合环保要求）。</w:t>
      </w:r>
    </w:p>
    <w:p w14:paraId="056250E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保洁期限</w:t>
      </w:r>
    </w:p>
    <w:p w14:paraId="464DE7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76" w:firstLine="53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一年（自合同签订之日起）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在完成本年度保洁任务并经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考核后，考核分数达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90分的，经双方协商同意，可续签下一年度的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保洁合同。</w:t>
      </w:r>
    </w:p>
    <w:p w14:paraId="70E96C5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服务内容</w:t>
      </w:r>
    </w:p>
    <w:p w14:paraId="06E46C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" w:right="76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1.负责河道水面的日常保洁，及时打捞和清除河道内的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各种漂浮物、垃圾和水生植物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（包括水葫芦、浮萍、病死动物等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）；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负责电站进水口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（电站打捞垃圾）清运，电站进水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口处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拦污栅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处及检修闸门孔每年一次清理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，以及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亲水平台和护坡上的淤泥、垃圾、杂草等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清理，河道中打捞垃圾（含电站进水口处打捞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的垃圾）运至有资质的垃圾处置单位进行处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置；</w:t>
      </w:r>
    </w:p>
    <w:p w14:paraId="2E278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" w:right="85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2.加强对河道的管理，制止在河坡上堆放物料与违章种植农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作物、乱搭乱建等行为，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并及时清除，河道内无乱占乱挖和无填、堵、束现象；</w:t>
      </w:r>
    </w:p>
    <w:p w14:paraId="536F0D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3" w:right="76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3.向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红船豆电站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管理范围周边市民宣传有关河道管理的规章制度，制止单位和个人向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河道内和河坡上倾倒生活、建筑垃圾、排放工业污水及各类有毒有害物质。</w:t>
      </w:r>
    </w:p>
    <w:p w14:paraId="4A8E582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服务要求</w:t>
      </w:r>
    </w:p>
    <w:p w14:paraId="1096F6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符合《浙江省水利工程安全管理条例》要求及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项目需求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河道水面保洁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。</w:t>
      </w:r>
    </w:p>
    <w:p w14:paraId="727DF3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" w:right="65" w:firstLine="55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1.负责河道水面漂浮物打捞，做到河道可视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范围内没有成块杂草或漂浮物，无卫生死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角，河道中无明显障碍物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电站进水口（电站打捞垃圾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）清运、电站进水口处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拦污栅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处及检修闸门孔每年一次清理、迎水坡亲水平台及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护坡无淤泥、垃圾、杂草等。具体保洁标准参见附件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eastAsia="zh-CN"/>
        </w:rPr>
        <w:t>2026年—2027年信安水电公司下辖红船豆电站河道保洁项目水面保洁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管护考核办法》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；</w:t>
      </w:r>
    </w:p>
    <w:p w14:paraId="632D0C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2.配备的船只、从业人员必须符合国家相关强制性规范。保持船舶处于良好运行状态，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并有醒目标志，确保各种打捞工具完好，不影响打捞工作，并在项目保洁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水域所属区、县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范围内具有专项配备的保洁船只以确保完成保洁工作；必须为从业人员投保人身意外伤害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保险（商业保险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从业人员年龄要求男55周岁以下，身体健康，会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游泳；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应做好从业人员水上安全生产教育和管理，遵守水上安全生产的各项规定，确保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人身安全，做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到安全第一；</w:t>
      </w:r>
    </w:p>
    <w:p w14:paraId="403D05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5" w:firstLine="55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3.水面打捞的垃圾等废弃物做到日产日清，定点倾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倒，集中运往有资质的垃圾处置单</w:t>
      </w:r>
      <w:r>
        <w:rPr>
          <w:rFonts w:hint="eastAsia" w:ascii="仿宋_GB2312" w:hAnsi="仿宋_GB2312" w:eastAsia="仿宋_GB2312" w:cs="仿宋_GB2312"/>
          <w:sz w:val="28"/>
          <w:szCs w:val="28"/>
        </w:rPr>
        <w:t>位进行处置，做到统一处理。河道打捞的死亡动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物，应及时作深埋消毒无害化处理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对无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害化处理的相关情况建立档案，每月上报枢纽管理站管理人员；</w:t>
      </w:r>
    </w:p>
    <w:p w14:paraId="38722E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" w:right="65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4.在非洪水影响期间，保洁船只实行全天候动态巡回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保洁，并要求堤岸有专人动态巡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查保洁；</w:t>
      </w:r>
    </w:p>
    <w:p w14:paraId="5485E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" w:right="65" w:firstLine="54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5.掌握季节性变化，适时调整打捞力量。服从各项突击性任务，如遇重大活动和重要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检查等特殊情况，服从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统一安排和调度，按要求保质保量完成任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务；</w:t>
      </w:r>
    </w:p>
    <w:p w14:paraId="42C45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6.不发生上级领导批评、新闻媒体曝光或群众投诉等造成较大社会影响的事件；</w:t>
      </w:r>
    </w:p>
    <w:p w14:paraId="54CE89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5" w:firstLine="54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7.及时举报和制止毁坏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水利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工程设施、树木花草、乱弃垃圾、违章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种植农作物与乱搭乱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建等不法行为。</w:t>
      </w:r>
    </w:p>
    <w:p w14:paraId="21A0410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服务人员要求</w:t>
      </w:r>
    </w:p>
    <w:p w14:paraId="7A026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5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应配备相应的专业人员，最低人员要求：持有中华人民共和国内河船舶船员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证书的船舶驾驶员1名（证书类别为三类及以上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保洁员2人，垃圾装运车驾驶员1人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（B证）。年龄要求男55周岁以下，身体健康，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水上作业人员应会游泳。</w:t>
      </w:r>
    </w:p>
    <w:p w14:paraId="0DD1B4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从事服务的人员应统一着装、统一证件、统一工具。</w:t>
      </w:r>
    </w:p>
    <w:p w14:paraId="2BBA5C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" w:right="65" w:firstLine="55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3.能熟练地运用相关清洁卫生工具，按操作规程和要领工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作，严格遵守劳动纪律和员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工守则，工作中不怕苦、累，认真负责，能胜任本职工作。</w:t>
      </w:r>
    </w:p>
    <w:p w14:paraId="0529EE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4.坚守工作岗位，不脱岗离岗，文明礼貌、使用服务规范用语。</w:t>
      </w:r>
    </w:p>
    <w:p w14:paraId="42A065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5.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遵守安全工作规定及操作程序，及时发现不安全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因素，正确处理突发事件。</w:t>
      </w:r>
    </w:p>
    <w:p w14:paraId="18F64A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6.遵守各项纪律和规章制度。</w:t>
      </w:r>
    </w:p>
    <w:p w14:paraId="518ACB3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设施和装备</w:t>
      </w:r>
    </w:p>
    <w:p w14:paraId="27D033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1.要求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提供的最低设施设备要求如下：5吨及以上船舶1艘（用于垃圾打捞</w:t>
      </w:r>
      <w:r>
        <w:rPr>
          <w:rFonts w:hint="eastAsia" w:ascii="仿宋_GB2312" w:hAnsi="仿宋_GB2312" w:eastAsia="仿宋_GB2312" w:cs="仿宋_GB2312"/>
          <w:spacing w:val="-42"/>
          <w:w w:val="98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垃圾转运车1辆（符合环保要求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保洁工具若干。注：若上述投入机动船和垃圾转运车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为自有则需提供购置合同复印件加盖公章；若为租赁则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需提供租赁合同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复印件加盖公章；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若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投标时未具有上述船只、车辆，则须提供拟投入船只、车辆图文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说明和中标后七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个工作日内提供的承诺函。其他保洁工具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须按采购人要求配置齐全。</w:t>
      </w:r>
    </w:p>
    <w:p w14:paraId="36D86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5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2.如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认为以上设施和装备不能完全满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足服务工作的需要，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应自行提供足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够的设施、设备。</w:t>
      </w:r>
    </w:p>
    <w:p w14:paraId="38D0964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考核办法</w:t>
      </w:r>
    </w:p>
    <w:p w14:paraId="100228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7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7"/>
          <w:sz w:val="28"/>
          <w:szCs w:val="28"/>
          <w:lang w:eastAsia="zh-CN"/>
        </w:rPr>
        <w:t>详见附件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7"/>
          <w:sz w:val="28"/>
          <w:szCs w:val="28"/>
          <w:lang w:val="en-US" w:eastAsia="zh-CN"/>
        </w:rPr>
        <w:t>2 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2026年—2027年信安水电公司下辖红船豆电站河道保洁项目水面保洁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sz w:val="28"/>
          <w:szCs w:val="28"/>
        </w:rPr>
        <w:t>管护考核办法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7"/>
          <w:sz w:val="28"/>
          <w:szCs w:val="28"/>
          <w:lang w:val="en-US" w:eastAsia="zh-CN"/>
        </w:rPr>
        <w:t>》</w:t>
      </w:r>
    </w:p>
    <w:p w14:paraId="38D02E7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结算办法及付款方式</w:t>
      </w:r>
    </w:p>
    <w:p w14:paraId="7A0612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" w:right="74" w:firstLine="544" w:firstLineChars="200"/>
        <w:jc w:val="both"/>
        <w:textAlignment w:val="auto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经日常考核和季度考核，根据考核扣分情况计算半年度保洁费用，每半年支付一次，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一年共支付两次，每次完成支付在采购人收到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开具的有效增值税专用发票后的一个月内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D2F0D">
    <w:pPr>
      <w:pStyle w:val="2"/>
      <w:spacing w:line="175" w:lineRule="auto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5579E">
    <w:pPr>
      <w:spacing w:line="14" w:lineRule="auto"/>
      <w:rPr>
        <w:rFonts w:ascii="Noto Sans CJK SC Regular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ACB03"/>
    <w:multiLevelType w:val="singleLevel"/>
    <w:tmpl w:val="1FFACB0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685C"/>
    <w:rsid w:val="048903FE"/>
    <w:rsid w:val="0C4DC94F"/>
    <w:rsid w:val="0F1CDCFE"/>
    <w:rsid w:val="13FB441A"/>
    <w:rsid w:val="16FA050D"/>
    <w:rsid w:val="1BFF2E26"/>
    <w:rsid w:val="1D5AD8ED"/>
    <w:rsid w:val="1DBF989E"/>
    <w:rsid w:val="1DD64C7D"/>
    <w:rsid w:val="1E7F4F51"/>
    <w:rsid w:val="1FBD48FE"/>
    <w:rsid w:val="1FCD4F4B"/>
    <w:rsid w:val="1FE36157"/>
    <w:rsid w:val="233F82EA"/>
    <w:rsid w:val="27FD02D1"/>
    <w:rsid w:val="27FD44B7"/>
    <w:rsid w:val="28EF941A"/>
    <w:rsid w:val="2BDE3ED3"/>
    <w:rsid w:val="2EED8F2C"/>
    <w:rsid w:val="2FE3CB53"/>
    <w:rsid w:val="350F4462"/>
    <w:rsid w:val="36EE0D72"/>
    <w:rsid w:val="37418919"/>
    <w:rsid w:val="37512EF4"/>
    <w:rsid w:val="37B5F193"/>
    <w:rsid w:val="37DD10BB"/>
    <w:rsid w:val="39BF79F7"/>
    <w:rsid w:val="3AEF0D25"/>
    <w:rsid w:val="3AF58E0D"/>
    <w:rsid w:val="3B7D583C"/>
    <w:rsid w:val="3B9D8761"/>
    <w:rsid w:val="3BBD753E"/>
    <w:rsid w:val="3BF2F901"/>
    <w:rsid w:val="3BF5DB21"/>
    <w:rsid w:val="3C551F6E"/>
    <w:rsid w:val="3D57C16D"/>
    <w:rsid w:val="3EFF125B"/>
    <w:rsid w:val="3FA95A89"/>
    <w:rsid w:val="3FAED930"/>
    <w:rsid w:val="3FE5FE9D"/>
    <w:rsid w:val="3FEB39E1"/>
    <w:rsid w:val="3FF6FCB3"/>
    <w:rsid w:val="4576F536"/>
    <w:rsid w:val="49F727A1"/>
    <w:rsid w:val="4FFB2E2F"/>
    <w:rsid w:val="4FFB3030"/>
    <w:rsid w:val="50AEFFED"/>
    <w:rsid w:val="519F9AD6"/>
    <w:rsid w:val="51BB9B48"/>
    <w:rsid w:val="53FB7769"/>
    <w:rsid w:val="56FBE388"/>
    <w:rsid w:val="57FE2C43"/>
    <w:rsid w:val="59DE4FB2"/>
    <w:rsid w:val="5E36A61A"/>
    <w:rsid w:val="5EBF1D8E"/>
    <w:rsid w:val="5EDFADC7"/>
    <w:rsid w:val="5F3F9336"/>
    <w:rsid w:val="5F73CA31"/>
    <w:rsid w:val="5FEF1FC0"/>
    <w:rsid w:val="5FFF3E5A"/>
    <w:rsid w:val="657778CD"/>
    <w:rsid w:val="65E71AF2"/>
    <w:rsid w:val="677FE1B6"/>
    <w:rsid w:val="67DD8B54"/>
    <w:rsid w:val="68D7BBA9"/>
    <w:rsid w:val="69FEEFDE"/>
    <w:rsid w:val="6AD7EAE6"/>
    <w:rsid w:val="6B7C3B4D"/>
    <w:rsid w:val="6BF35A69"/>
    <w:rsid w:val="6BF97A65"/>
    <w:rsid w:val="6C7B7563"/>
    <w:rsid w:val="6CF779F0"/>
    <w:rsid w:val="6D7D5F9E"/>
    <w:rsid w:val="6DF87B98"/>
    <w:rsid w:val="6E97D55E"/>
    <w:rsid w:val="6EFF82B0"/>
    <w:rsid w:val="6F56305C"/>
    <w:rsid w:val="6FB50D08"/>
    <w:rsid w:val="6FBF1280"/>
    <w:rsid w:val="6FE73426"/>
    <w:rsid w:val="6FF789B3"/>
    <w:rsid w:val="6FF978B1"/>
    <w:rsid w:val="6FF9D484"/>
    <w:rsid w:val="6FFC005E"/>
    <w:rsid w:val="6FFF1DE7"/>
    <w:rsid w:val="71DD5BD8"/>
    <w:rsid w:val="72FF5417"/>
    <w:rsid w:val="735E98EE"/>
    <w:rsid w:val="737F192F"/>
    <w:rsid w:val="73BFABE0"/>
    <w:rsid w:val="73F7E613"/>
    <w:rsid w:val="741F3788"/>
    <w:rsid w:val="757DE4F0"/>
    <w:rsid w:val="75EDAE03"/>
    <w:rsid w:val="75EFD58B"/>
    <w:rsid w:val="75FE7837"/>
    <w:rsid w:val="75FFEEAC"/>
    <w:rsid w:val="767D527B"/>
    <w:rsid w:val="76EBCF25"/>
    <w:rsid w:val="76FB12E8"/>
    <w:rsid w:val="7795B5E2"/>
    <w:rsid w:val="77DE7AAD"/>
    <w:rsid w:val="77E63E17"/>
    <w:rsid w:val="77FDECB5"/>
    <w:rsid w:val="77FE0DB0"/>
    <w:rsid w:val="77FE4626"/>
    <w:rsid w:val="77FF035F"/>
    <w:rsid w:val="77FF62ED"/>
    <w:rsid w:val="79C30D7E"/>
    <w:rsid w:val="79EFBC35"/>
    <w:rsid w:val="7AC69EB0"/>
    <w:rsid w:val="7B5961C4"/>
    <w:rsid w:val="7BBDF6D4"/>
    <w:rsid w:val="7BDF0391"/>
    <w:rsid w:val="7BF71D29"/>
    <w:rsid w:val="7D2D9107"/>
    <w:rsid w:val="7D758E3A"/>
    <w:rsid w:val="7E7DE5DB"/>
    <w:rsid w:val="7E9B922F"/>
    <w:rsid w:val="7EB4A889"/>
    <w:rsid w:val="7ECFDA96"/>
    <w:rsid w:val="7EDFF5DD"/>
    <w:rsid w:val="7F0D5C8D"/>
    <w:rsid w:val="7F48D88F"/>
    <w:rsid w:val="7F74FB2F"/>
    <w:rsid w:val="7F765CC4"/>
    <w:rsid w:val="7F7FD195"/>
    <w:rsid w:val="7F8D31DC"/>
    <w:rsid w:val="7FB5F5AF"/>
    <w:rsid w:val="7FBD31B1"/>
    <w:rsid w:val="7FBEB2AF"/>
    <w:rsid w:val="7FBF7780"/>
    <w:rsid w:val="7FBFB275"/>
    <w:rsid w:val="7FE53582"/>
    <w:rsid w:val="7FEFD0B9"/>
    <w:rsid w:val="7FF5C448"/>
    <w:rsid w:val="7FFB710F"/>
    <w:rsid w:val="7FFDDF75"/>
    <w:rsid w:val="7FFE0846"/>
    <w:rsid w:val="7FFF302F"/>
    <w:rsid w:val="7FFF9BD8"/>
    <w:rsid w:val="8B2F12F1"/>
    <w:rsid w:val="8FF811C5"/>
    <w:rsid w:val="9E3F5C45"/>
    <w:rsid w:val="9F3BA5DC"/>
    <w:rsid w:val="9F9BD7EC"/>
    <w:rsid w:val="9FDE67D3"/>
    <w:rsid w:val="9FF61D9F"/>
    <w:rsid w:val="A5EF997A"/>
    <w:rsid w:val="AD5F1A9C"/>
    <w:rsid w:val="ADFFAF5C"/>
    <w:rsid w:val="AEF7D2AF"/>
    <w:rsid w:val="B3A5CC15"/>
    <w:rsid w:val="B5FE597B"/>
    <w:rsid w:val="B7971204"/>
    <w:rsid w:val="B7BDB521"/>
    <w:rsid w:val="B7CDA3C3"/>
    <w:rsid w:val="B7FDC0D7"/>
    <w:rsid w:val="B9DD3FB2"/>
    <w:rsid w:val="B9FDBCF8"/>
    <w:rsid w:val="BB4D0182"/>
    <w:rsid w:val="BB7F5BC1"/>
    <w:rsid w:val="BBBC8F03"/>
    <w:rsid w:val="BBBE93F0"/>
    <w:rsid w:val="BBFB958E"/>
    <w:rsid w:val="BDDFBA39"/>
    <w:rsid w:val="BE4A04BC"/>
    <w:rsid w:val="BEEFE89B"/>
    <w:rsid w:val="BEF7B6BC"/>
    <w:rsid w:val="BF1F67BA"/>
    <w:rsid w:val="BFBF4970"/>
    <w:rsid w:val="BFBF5F8F"/>
    <w:rsid w:val="BFF417D5"/>
    <w:rsid w:val="BFFE4448"/>
    <w:rsid w:val="BFFF8B47"/>
    <w:rsid w:val="C81D63B8"/>
    <w:rsid w:val="CBBB58EC"/>
    <w:rsid w:val="CD3E9E7B"/>
    <w:rsid w:val="CDBFEDB5"/>
    <w:rsid w:val="CDDFC647"/>
    <w:rsid w:val="CDEF4C7C"/>
    <w:rsid w:val="CDFDA585"/>
    <w:rsid w:val="CEF97D93"/>
    <w:rsid w:val="CFB3CBBA"/>
    <w:rsid w:val="CFF3131F"/>
    <w:rsid w:val="D3D5B1B2"/>
    <w:rsid w:val="D3F376EF"/>
    <w:rsid w:val="D547876E"/>
    <w:rsid w:val="D6F7FCBF"/>
    <w:rsid w:val="D6FBD525"/>
    <w:rsid w:val="D77AA82D"/>
    <w:rsid w:val="D7FF9F4C"/>
    <w:rsid w:val="DA5F4CF2"/>
    <w:rsid w:val="DA9B5073"/>
    <w:rsid w:val="DAFFD103"/>
    <w:rsid w:val="DBB74944"/>
    <w:rsid w:val="DBBFE2AA"/>
    <w:rsid w:val="DDB6A63A"/>
    <w:rsid w:val="DDBCB0DE"/>
    <w:rsid w:val="DDFF1BAA"/>
    <w:rsid w:val="DE7E8718"/>
    <w:rsid w:val="DED9BAB9"/>
    <w:rsid w:val="DEDFA504"/>
    <w:rsid w:val="DEDFE70B"/>
    <w:rsid w:val="DEF64673"/>
    <w:rsid w:val="DF3FEB0A"/>
    <w:rsid w:val="DF6DE61A"/>
    <w:rsid w:val="DFBD0A33"/>
    <w:rsid w:val="DFBEEA0B"/>
    <w:rsid w:val="DFD70AF8"/>
    <w:rsid w:val="DFFB01D9"/>
    <w:rsid w:val="E15F03D2"/>
    <w:rsid w:val="E27F4A62"/>
    <w:rsid w:val="E3CE9AFA"/>
    <w:rsid w:val="E6774F49"/>
    <w:rsid w:val="E7FF1C60"/>
    <w:rsid w:val="E7FFED75"/>
    <w:rsid w:val="E82DB245"/>
    <w:rsid w:val="E9A6FA5C"/>
    <w:rsid w:val="EA7FE8FF"/>
    <w:rsid w:val="EA972BF2"/>
    <w:rsid w:val="EAC9ABA4"/>
    <w:rsid w:val="EAEBC4DC"/>
    <w:rsid w:val="EBEF8CE3"/>
    <w:rsid w:val="EBF43822"/>
    <w:rsid w:val="EBFF28E2"/>
    <w:rsid w:val="ED5F75B4"/>
    <w:rsid w:val="EDABC496"/>
    <w:rsid w:val="EDF8D1D8"/>
    <w:rsid w:val="EDFFE0EC"/>
    <w:rsid w:val="EE3B4202"/>
    <w:rsid w:val="EEF9656E"/>
    <w:rsid w:val="EF1AC9B8"/>
    <w:rsid w:val="EF8F302F"/>
    <w:rsid w:val="EFB0E529"/>
    <w:rsid w:val="EFB4F911"/>
    <w:rsid w:val="EFBE9A32"/>
    <w:rsid w:val="EFDDE07B"/>
    <w:rsid w:val="EFF78974"/>
    <w:rsid w:val="F19E313F"/>
    <w:rsid w:val="F3097A78"/>
    <w:rsid w:val="F3EE9459"/>
    <w:rsid w:val="F3F36E0D"/>
    <w:rsid w:val="F3FFCBE7"/>
    <w:rsid w:val="F4F1296C"/>
    <w:rsid w:val="F5DFB562"/>
    <w:rsid w:val="F5FDF767"/>
    <w:rsid w:val="F6FDB024"/>
    <w:rsid w:val="F75377CA"/>
    <w:rsid w:val="F7AF31A2"/>
    <w:rsid w:val="F7C328FF"/>
    <w:rsid w:val="F7FFE332"/>
    <w:rsid w:val="F9DED50A"/>
    <w:rsid w:val="FA5F567D"/>
    <w:rsid w:val="FAFEF60B"/>
    <w:rsid w:val="FB2EB692"/>
    <w:rsid w:val="FB6F9FB6"/>
    <w:rsid w:val="FC0F6384"/>
    <w:rsid w:val="FCB79A0D"/>
    <w:rsid w:val="FCC7B1D3"/>
    <w:rsid w:val="FD652EFE"/>
    <w:rsid w:val="FD6F66FE"/>
    <w:rsid w:val="FDD7D3C8"/>
    <w:rsid w:val="FDF7A1D8"/>
    <w:rsid w:val="FDF97667"/>
    <w:rsid w:val="FDFF482A"/>
    <w:rsid w:val="FDFFE2B2"/>
    <w:rsid w:val="FE36FCC3"/>
    <w:rsid w:val="FE7B402F"/>
    <w:rsid w:val="FEAA20ED"/>
    <w:rsid w:val="FED63AFE"/>
    <w:rsid w:val="FEE7CBD2"/>
    <w:rsid w:val="FEEBC5BE"/>
    <w:rsid w:val="FEF75F41"/>
    <w:rsid w:val="FF0DD29E"/>
    <w:rsid w:val="FF13F019"/>
    <w:rsid w:val="FF3B29E2"/>
    <w:rsid w:val="FF4F9734"/>
    <w:rsid w:val="FF572AB0"/>
    <w:rsid w:val="FF772F88"/>
    <w:rsid w:val="FF7BFF1D"/>
    <w:rsid w:val="FF7DBC6E"/>
    <w:rsid w:val="FF7E3A93"/>
    <w:rsid w:val="FFAD72BD"/>
    <w:rsid w:val="FFBA15B6"/>
    <w:rsid w:val="FFBBD768"/>
    <w:rsid w:val="FFBF2FBB"/>
    <w:rsid w:val="FFE98E71"/>
    <w:rsid w:val="FFED143A"/>
    <w:rsid w:val="FFEDB913"/>
    <w:rsid w:val="FFF7D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paragraph" w:styleId="4">
    <w:name w:val="toc 5"/>
    <w:basedOn w:val="1"/>
    <w:next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4728</Words>
  <Characters>4817</Characters>
  <Lines>0</Lines>
  <Paragraphs>0</Paragraphs>
  <TotalTime>208</TotalTime>
  <ScaleCrop>false</ScaleCrop>
  <LinksUpToDate>false</LinksUpToDate>
  <CharactersWithSpaces>4886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2026-01-20T00:39:37Z</dcterms:created>
  <dc:creator>admmin</dc:creator>
  <cp:lastModifiedBy>吴泫锐</cp:lastModifiedBy>
  <cp:lastPrinted>2026-05-27T16:38:44Z</cp:lastPrinted>
  <dcterms:modified xsi:type="dcterms:W3CDTF">2026-05-29T07:55:00Z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5A1F911ED8604B18AEE5D42DB6482662_13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