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DC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-5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  <w:lang w:val="en-US" w:eastAsia="zh-CN"/>
        </w:rPr>
        <w:t>2：</w:t>
      </w:r>
    </w:p>
    <w:p w14:paraId="5DA2BE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-5"/>
          <w:sz w:val="44"/>
          <w:szCs w:val="44"/>
          <w:lang w:eastAsia="zh-CN"/>
        </w:rPr>
      </w:pPr>
    </w:p>
    <w:p w14:paraId="13E7F5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pacing w:val="-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sz w:val="44"/>
          <w:szCs w:val="44"/>
          <w:lang w:eastAsia="zh-CN"/>
        </w:rPr>
        <w:t>2026年—2027年信安水电公司下辖红船豆电站河道保洁项目水面保洁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sz w:val="44"/>
          <w:szCs w:val="44"/>
        </w:rPr>
        <w:t>管护考核办法</w:t>
      </w:r>
    </w:p>
    <w:p w14:paraId="6CC94AE6">
      <w:pPr>
        <w:pStyle w:val="3"/>
        <w:rPr>
          <w:rFonts w:hint="eastAsia"/>
        </w:rPr>
      </w:pPr>
    </w:p>
    <w:p w14:paraId="26FDBB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7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为加强衢州市信安水电开发有限公司下辖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红船豆电站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管理范围河道水面保洁实行市场化运作，确保河道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水面无漂浮垃圾、无杂草、无废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弃物、无障碍物、无动物死尸等切实改善水生态环境，实现“水清、流畅、景美”的目标，特制定本考核办法。</w:t>
      </w:r>
    </w:p>
    <w:p w14:paraId="4B9CCF4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安全生产（10分）</w:t>
      </w:r>
    </w:p>
    <w:p w14:paraId="07232C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60" w:firstLine="56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1.保洁船只必须符合国家相关强制性规范，并悬挂醒目标志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未按规定要求的，每发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现一次扣1分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；（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5分）</w:t>
      </w:r>
    </w:p>
    <w:p w14:paraId="1E52B5E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3" w:right="160" w:firstLine="53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必须为从业人员投保人身意外伤害保险，未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投保的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每发现一人扣1分。（5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分）</w:t>
      </w:r>
    </w:p>
    <w:p w14:paraId="422C034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社会评价（10分）</w:t>
      </w:r>
    </w:p>
    <w:p w14:paraId="7B19E0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" w:right="160" w:firstLine="54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发生上级领导批评、新闻媒体曝光或群众投诉举报查实的，每次扣2分，接市政府督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办单一次扣5分。（10分）</w:t>
      </w:r>
    </w:p>
    <w:p w14:paraId="782861E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应急管理（10分）</w:t>
      </w:r>
    </w:p>
    <w:p w14:paraId="57ED928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" w:right="151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遇重大活动或重要检查等特殊情况，服从安排和调配，如不服从上级统一安排或调配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的，每次扣2分；不服从现场指挥或调配的，每次扣2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10分；人员到岗时间以应急要求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为准，规定时间前（以通知为准）未完成保洁的扣5分。应急范围以管理单位通知为准。</w:t>
      </w:r>
    </w:p>
    <w:p w14:paraId="2F6F3DF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日常考核（70分）</w:t>
      </w:r>
    </w:p>
    <w:p w14:paraId="479C1751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3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28"/>
          <w:szCs w:val="28"/>
        </w:rPr>
        <w:t>保洁船只及人员、时间（20分）</w:t>
      </w:r>
    </w:p>
    <w:p w14:paraId="1076761A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每天有专人实施动态保洁，未按要求保洁的，每发现一次扣4分；</w:t>
      </w:r>
    </w:p>
    <w:p w14:paraId="6B496F1D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作业人员上船时必须穿戴救生衣，如发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现未穿、未配备对讲机，每次扣1分；</w:t>
      </w:r>
    </w:p>
    <w:p w14:paraId="792A62EC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严禁酒后上船作业，如发现一次扣8分；</w:t>
      </w:r>
    </w:p>
    <w:p w14:paraId="0196A6AB">
      <w:pPr>
        <w:pStyle w:val="2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60" w:firstLine="54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保洁船、保洁人员的数量应符合投标文件拟派的数量要求，如发现数量不符，发现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一次扣2分。</w:t>
      </w:r>
    </w:p>
    <w:p w14:paraId="4CF9D798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34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7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28"/>
          <w:szCs w:val="28"/>
        </w:rPr>
        <w:t>保洁措施与实效（40分）</w:t>
      </w:r>
    </w:p>
    <w:p w14:paraId="73B0A28A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175" w:firstLine="56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在非洪水影响期间，水面岸坡垃圾漂浮物</w:t>
      </w:r>
      <w:r>
        <w:rPr>
          <w:rFonts w:hint="eastAsia" w:ascii="仿宋_GB2312" w:hAnsi="仿宋_GB2312" w:eastAsia="仿宋_GB2312" w:cs="仿宋_GB2312"/>
          <w:sz w:val="28"/>
          <w:szCs w:val="28"/>
        </w:rPr>
        <w:t>不可见，成片垃圾漂浮物每发现一处扣2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分（累加</w:t>
      </w:r>
      <w:r>
        <w:rPr>
          <w:rFonts w:hint="eastAsia" w:ascii="仿宋_GB2312" w:hAnsi="仿宋_GB2312" w:eastAsia="仿宋_GB2312" w:cs="仿宋_GB2312"/>
          <w:sz w:val="28"/>
          <w:szCs w:val="28"/>
        </w:rPr>
        <w:t>）；</w:t>
      </w:r>
    </w:p>
    <w:p w14:paraId="14036537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电站进水口（电站打捞垃圾）清运、电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站进水口处拦污栅处及检修闸门孔每年一次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清理、上岸垃圾做到日产日清、定点倾倒，未及时清运的每次扣8分；</w:t>
      </w:r>
    </w:p>
    <w:p w14:paraId="1046AED3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垃圾运输车辆应符合环保部门要求，如不符合要求的，每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发现一次扣2分；</w:t>
      </w:r>
    </w:p>
    <w:p w14:paraId="27B7A221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5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及时清除洪水过后亲水平台和护坡上的淤泥、垃圾、杂草等，未及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时清除的（3天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内）每发现一处扣2分；</w:t>
      </w:r>
    </w:p>
    <w:p w14:paraId="64845C4B">
      <w:pPr>
        <w:pStyle w:val="2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及时打捞动物死尸处并按指定地点堆放，检查发现未打捞动物死尸一具扣8分（累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加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检查每发现一次未按指定地点堆放的扣1分。</w:t>
      </w:r>
    </w:p>
    <w:p w14:paraId="700B1A38">
      <w:pPr>
        <w:pStyle w:val="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34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7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7"/>
          <w:sz w:val="28"/>
          <w:szCs w:val="28"/>
        </w:rPr>
        <w:t>管理制度（10分）</w:t>
      </w:r>
    </w:p>
    <w:p w14:paraId="0C7DB944">
      <w:pPr>
        <w:pStyle w:val="2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水面保洁责任制度落实到位，建立安全生产管理制度，建立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管理台账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制度，项目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负责人做好检查、巡查及记录，确保日常工作正常开展。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（2分）</w:t>
      </w:r>
    </w:p>
    <w:p w14:paraId="786FF0D5">
      <w:pPr>
        <w:pStyle w:val="2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保洁人员每日至管理单位考勤签到，并对每天打捞的垃圾数量、垃圾分类登记清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楚，建立月台账制度，对动物死尸数量、重量实行日报制度，对其他垃圾重量实行日报制</w:t>
      </w: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度。（4分）</w:t>
      </w:r>
    </w:p>
    <w:p w14:paraId="62D27A7A">
      <w:pPr>
        <w:pStyle w:val="2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4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无台账记录每项扣1分（台账包括保洁队伍组织、责任制度、安全生产制度、保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洁台账、动物死尸及垃圾清运回执）。台账报送不及时扣1分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，未按规定落实的每项扣1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分。（4分）</w:t>
      </w:r>
    </w:p>
    <w:p w14:paraId="41BC55E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考核办法</w:t>
      </w:r>
    </w:p>
    <w:p w14:paraId="697094FA"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管理单位不定时对各项日常保洁工作进行检查，发现问题要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求整改（附表2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并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组织日常考核（附表3）每周至少一次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70分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。</w:t>
      </w:r>
    </w:p>
    <w:p w14:paraId="24B7F0E3"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日常考核的平均得分加季度考核平均得分等于半年度考核得分。</w:t>
      </w:r>
    </w:p>
    <w:p w14:paraId="2A438255"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2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其他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内容为季度考核（30分）内容，由电站每季度组织人员进行检查考核（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附表4）。</w:t>
      </w:r>
    </w:p>
    <w:p w14:paraId="28A4A56A"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4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本考核结果作为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结算半年度承包费用的依据。</w:t>
      </w:r>
    </w:p>
    <w:p w14:paraId="4116991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28"/>
          <w:szCs w:val="28"/>
        </w:rPr>
        <w:t>处罚与奖励</w:t>
      </w:r>
    </w:p>
    <w:p w14:paraId="15E72898">
      <w:pPr>
        <w:pStyle w:val="2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3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7"/>
          <w:sz w:val="28"/>
          <w:szCs w:val="28"/>
        </w:rPr>
        <w:t>半年度考核分在90分以上的（含90分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0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7"/>
          <w:sz w:val="28"/>
          <w:szCs w:val="28"/>
        </w:rPr>
        <w:t>全额拨付，在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8"/>
          <w:sz w:val="28"/>
          <w:szCs w:val="28"/>
        </w:rPr>
        <w:t>90分以下的，处罚金额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28"/>
          <w:szCs w:val="28"/>
        </w:rPr>
        <w:t>为中标价÷2÷100*半年考核扣分值。</w:t>
      </w:r>
    </w:p>
    <w:p w14:paraId="1FD9D52E">
      <w:pPr>
        <w:pStyle w:val="2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半年度考核在60分以下的，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可单方</w:t>
      </w:r>
      <w:r>
        <w:rPr>
          <w:rFonts w:hint="eastAsia" w:ascii="仿宋_GB2312" w:hAnsi="仿宋_GB2312" w:eastAsia="仿宋_GB2312" w:cs="仿宋_GB2312"/>
          <w:color w:val="auto"/>
          <w:spacing w:val="-1"/>
          <w:sz w:val="28"/>
          <w:szCs w:val="28"/>
        </w:rPr>
        <w:t>解除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合同，由第二中标候选人递补或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重新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确定保洁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单位。</w:t>
      </w:r>
    </w:p>
    <w:p w14:paraId="5892DD39">
      <w:pPr>
        <w:pStyle w:val="2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48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遇重大活动或重要检查，服从安排和调配，水面保洁日常管护工作安排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有序，措施到位，成效显著，并得到上级领导表扬肯定的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，该季度考核加1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—</w:t>
      </w: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3分。</w:t>
      </w:r>
    </w:p>
    <w:p w14:paraId="740CC6AD">
      <w:pPr>
        <w:pStyle w:val="2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一年内累计两次因保洁不到位被新闻媒体曝光的，取消下一年度的投标资格。</w:t>
      </w:r>
    </w:p>
    <w:p w14:paraId="0D0C1A66">
      <w:pPr>
        <w:pStyle w:val="2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83" w:firstLine="556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承包期间出现重大安全责任事故的，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可单方解除合同并取消下一年度的投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标资格。</w:t>
      </w:r>
    </w:p>
    <w:p w14:paraId="71F0C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3" w:type="default"/>
          <w:footerReference r:id="rId4" w:type="default"/>
          <w:pgSz w:w="11921" w:h="16839"/>
          <w:pgMar w:top="1440" w:right="1800" w:bottom="1440" w:left="1800" w:header="0" w:footer="948" w:gutter="0"/>
          <w:cols w:space="720" w:num="1"/>
        </w:sectPr>
      </w:pPr>
    </w:p>
    <w:p w14:paraId="726CB3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560" w:lineRule="exact"/>
        <w:ind w:right="2283"/>
        <w:jc w:val="center"/>
        <w:textAlignment w:val="auto"/>
        <w:rPr>
          <w:rFonts w:hint="eastAsia" w:ascii="仿宋_GB2312" w:hAnsi="仿宋_GB2312" w:eastAsia="仿宋_GB2312" w:cs="仿宋_GB2312"/>
          <w:b/>
          <w:bCs/>
          <w:spacing w:val="6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6"/>
          <w:sz w:val="36"/>
          <w:szCs w:val="36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pacing w:val="6"/>
          <w:sz w:val="36"/>
          <w:szCs w:val="36"/>
        </w:rPr>
        <w:t>河道日常保洁检查表</w:t>
      </w:r>
    </w:p>
    <w:p w14:paraId="21488C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" w:line="560" w:lineRule="exact"/>
        <w:ind w:right="2283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pacing w:val="5"/>
          <w:sz w:val="36"/>
          <w:szCs w:val="36"/>
        </w:rPr>
        <w:t>（保洁公司名称）</w:t>
      </w:r>
    </w:p>
    <w:p w14:paraId="6CA425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13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020"/>
        <w:gridCol w:w="2694"/>
        <w:gridCol w:w="991"/>
        <w:gridCol w:w="2831"/>
      </w:tblGrid>
      <w:tr w14:paraId="3BF66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90" w:type="dxa"/>
            <w:noWrap w:val="0"/>
            <w:vAlign w:val="top"/>
          </w:tcPr>
          <w:p w14:paraId="2CEA9A9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560" w:lineRule="exact"/>
              <w:ind w:left="12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编号：</w:t>
            </w:r>
          </w:p>
        </w:tc>
        <w:tc>
          <w:tcPr>
            <w:tcW w:w="4705" w:type="dxa"/>
            <w:gridSpan w:val="3"/>
            <w:noWrap w:val="0"/>
            <w:vAlign w:val="top"/>
          </w:tcPr>
          <w:p w14:paraId="7F5AA9F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560" w:lineRule="exact"/>
              <w:ind w:left="136" w:right="106" w:hanging="1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position w:val="2"/>
                <w:sz w:val="28"/>
                <w:szCs w:val="28"/>
              </w:rPr>
              <w:t>保洁区：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position w:val="2"/>
                <w:sz w:val="28"/>
                <w:szCs w:val="28"/>
                <w:lang w:eastAsia="zh-CN"/>
              </w:rPr>
              <w:t>红船豆电站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position w:val="2"/>
                <w:sz w:val="28"/>
                <w:szCs w:val="28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28"/>
                <w:szCs w:val="28"/>
              </w:rPr>
              <w:t>范围</w:t>
            </w:r>
          </w:p>
        </w:tc>
        <w:tc>
          <w:tcPr>
            <w:tcW w:w="2831" w:type="dxa"/>
            <w:noWrap w:val="0"/>
            <w:vAlign w:val="top"/>
          </w:tcPr>
          <w:p w14:paraId="78CB735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560" w:lineRule="exact"/>
              <w:ind w:left="12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保洁人员：</w:t>
            </w:r>
          </w:p>
        </w:tc>
      </w:tr>
      <w:tr w14:paraId="1D22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AB3588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4"/>
                <w:sz w:val="28"/>
                <w:szCs w:val="28"/>
              </w:rPr>
              <w:t>巡查路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4"/>
                <w:sz w:val="28"/>
                <w:szCs w:val="28"/>
                <w:lang w:eastAsia="zh-CN"/>
              </w:rPr>
              <w:t>线</w:t>
            </w:r>
          </w:p>
        </w:tc>
        <w:tc>
          <w:tcPr>
            <w:tcW w:w="1020" w:type="dxa"/>
            <w:noWrap w:val="0"/>
            <w:vAlign w:val="top"/>
          </w:tcPr>
          <w:p w14:paraId="3B0177D9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2694" w:type="dxa"/>
            <w:noWrap w:val="0"/>
            <w:vAlign w:val="top"/>
          </w:tcPr>
          <w:p w14:paraId="4047891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60" w:lineRule="exact"/>
              <w:ind w:left="3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top"/>
          </w:tcPr>
          <w:p w14:paraId="588E50E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2831" w:type="dxa"/>
            <w:noWrap w:val="0"/>
            <w:vAlign w:val="top"/>
          </w:tcPr>
          <w:p w14:paraId="717E22E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60" w:lineRule="exact"/>
              <w:ind w:left="67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35B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1057D7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250512F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2694" w:type="dxa"/>
            <w:noWrap w:val="0"/>
            <w:vAlign w:val="top"/>
          </w:tcPr>
          <w:p w14:paraId="2DE00B13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60" w:lineRule="exact"/>
              <w:ind w:left="3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top"/>
          </w:tcPr>
          <w:p w14:paraId="476C538C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2831" w:type="dxa"/>
            <w:noWrap w:val="0"/>
            <w:vAlign w:val="top"/>
          </w:tcPr>
          <w:p w14:paraId="39DA0C3F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60" w:lineRule="exact"/>
              <w:ind w:left="67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C7B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9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8FF162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4A9BAE5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2694" w:type="dxa"/>
            <w:noWrap w:val="0"/>
            <w:vAlign w:val="top"/>
          </w:tcPr>
          <w:p w14:paraId="57E728B0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60" w:lineRule="exact"/>
              <w:ind w:left="3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top"/>
          </w:tcPr>
          <w:p w14:paraId="3F583CD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2831" w:type="dxa"/>
            <w:noWrap w:val="0"/>
            <w:vAlign w:val="top"/>
          </w:tcPr>
          <w:p w14:paraId="53A527ED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560" w:lineRule="exact"/>
              <w:ind w:left="67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358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9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CC5B8A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B6FD425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2694" w:type="dxa"/>
            <w:noWrap w:val="0"/>
            <w:vAlign w:val="top"/>
          </w:tcPr>
          <w:p w14:paraId="350F980E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32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1" w:type="dxa"/>
            <w:noWrap w:val="0"/>
            <w:vAlign w:val="top"/>
          </w:tcPr>
          <w:p w14:paraId="48B7032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9"/>
                <w:position w:val="-1"/>
                <w:sz w:val="28"/>
                <w:szCs w:val="28"/>
              </w:rPr>
              <w:t>时间</w:t>
            </w:r>
          </w:p>
        </w:tc>
        <w:tc>
          <w:tcPr>
            <w:tcW w:w="2831" w:type="dxa"/>
            <w:noWrap w:val="0"/>
            <w:vAlign w:val="top"/>
          </w:tcPr>
          <w:p w14:paraId="27126156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2" w:line="560" w:lineRule="exact"/>
              <w:ind w:left="676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18C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</w:trPr>
        <w:tc>
          <w:tcPr>
            <w:tcW w:w="8526" w:type="dxa"/>
            <w:gridSpan w:val="5"/>
            <w:noWrap w:val="0"/>
            <w:vAlign w:val="top"/>
          </w:tcPr>
          <w:p w14:paraId="69942FE1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560" w:lineRule="exact"/>
              <w:ind w:left="133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发现问题：</w:t>
            </w:r>
          </w:p>
        </w:tc>
      </w:tr>
      <w:tr w14:paraId="028D0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atLeast"/>
        </w:trPr>
        <w:tc>
          <w:tcPr>
            <w:tcW w:w="8526" w:type="dxa"/>
            <w:gridSpan w:val="5"/>
            <w:noWrap w:val="0"/>
            <w:vAlign w:val="top"/>
          </w:tcPr>
          <w:p w14:paraId="0FE7D7E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560" w:lineRule="exact"/>
              <w:ind w:left="12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整改要求：</w:t>
            </w:r>
          </w:p>
        </w:tc>
      </w:tr>
      <w:tr w14:paraId="0E060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8526" w:type="dxa"/>
            <w:gridSpan w:val="5"/>
            <w:noWrap w:val="0"/>
            <w:vAlign w:val="top"/>
          </w:tcPr>
          <w:p w14:paraId="23D76534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560" w:lineRule="exact"/>
              <w:ind w:left="125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整改完成情况：</w:t>
            </w:r>
          </w:p>
        </w:tc>
      </w:tr>
      <w:tr w14:paraId="45987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526" w:type="dxa"/>
            <w:gridSpan w:val="5"/>
            <w:noWrap w:val="0"/>
            <w:vAlign w:val="top"/>
          </w:tcPr>
          <w:p w14:paraId="0B4EC9D8"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560" w:lineRule="exact"/>
              <w:ind w:left="269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position w:val="-1"/>
                <w:sz w:val="28"/>
                <w:szCs w:val="28"/>
              </w:rPr>
              <w:t>检查人员签字：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position w:val="-1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position w:val="-1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position w:val="-1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position w:val="-1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position w:val="-1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position w:val="-1"/>
                <w:sz w:val="28"/>
                <w:szCs w:val="28"/>
              </w:rPr>
              <w:t>日</w:t>
            </w:r>
          </w:p>
        </w:tc>
      </w:tr>
    </w:tbl>
    <w:p w14:paraId="6BD8E4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5" w:type="default"/>
          <w:footerReference r:id="rId6" w:type="default"/>
          <w:pgSz w:w="11921" w:h="16839"/>
          <w:pgMar w:top="1440" w:right="1800" w:bottom="1440" w:left="1800" w:header="1413" w:footer="948" w:gutter="0"/>
          <w:cols w:space="720" w:num="1"/>
        </w:sectPr>
      </w:pPr>
    </w:p>
    <w:p w14:paraId="44E430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2"/>
          <w:sz w:val="28"/>
          <w:szCs w:val="28"/>
        </w:rPr>
        <w:t>日常考核表（70分）</w:t>
      </w:r>
    </w:p>
    <w:p w14:paraId="6E3735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ind w:right="477" w:firstLine="428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管理单位不定时对各项日常管理工作进行检查，组织日常考核</w:t>
      </w:r>
      <w:r>
        <w:rPr>
          <w:rFonts w:hint="eastAsia" w:ascii="宋体" w:hAnsi="宋体" w:eastAsia="宋体" w:cs="宋体"/>
          <w:spacing w:val="6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每周至少一次，日常考核的平均得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分计入季度考核得分。本考核结果作为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结算半年度承包费用的依据</w:t>
      </w:r>
      <w:r>
        <w:rPr>
          <w:rFonts w:hint="eastAsia" w:ascii="宋体" w:hAnsi="宋体" w:eastAsia="宋体" w:cs="宋体"/>
          <w:spacing w:val="8"/>
          <w:sz w:val="28"/>
          <w:szCs w:val="28"/>
        </w:rPr>
        <w:t>。</w:t>
      </w:r>
    </w:p>
    <w:tbl>
      <w:tblPr>
        <w:tblStyle w:val="13"/>
        <w:tblW w:w="83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438"/>
        <w:gridCol w:w="5396"/>
        <w:gridCol w:w="512"/>
        <w:gridCol w:w="455"/>
      </w:tblGrid>
      <w:tr w14:paraId="53D44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noWrap w:val="0"/>
            <w:vAlign w:val="center"/>
          </w:tcPr>
          <w:p w14:paraId="4489E1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00" w:lineRule="exact"/>
              <w:ind w:left="185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序号</w:t>
            </w:r>
          </w:p>
        </w:tc>
        <w:tc>
          <w:tcPr>
            <w:tcW w:w="1438" w:type="dxa"/>
            <w:noWrap w:val="0"/>
            <w:vAlign w:val="center"/>
          </w:tcPr>
          <w:p w14:paraId="46C7D2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</w:rPr>
              <w:t>考核内容</w:t>
            </w:r>
          </w:p>
        </w:tc>
        <w:tc>
          <w:tcPr>
            <w:tcW w:w="5396" w:type="dxa"/>
            <w:noWrap w:val="0"/>
            <w:vAlign w:val="center"/>
          </w:tcPr>
          <w:p w14:paraId="7CB872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细则</w:t>
            </w:r>
          </w:p>
        </w:tc>
        <w:tc>
          <w:tcPr>
            <w:tcW w:w="512" w:type="dxa"/>
            <w:noWrap w:val="0"/>
            <w:vAlign w:val="center"/>
          </w:tcPr>
          <w:p w14:paraId="2D0AD91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00" w:lineRule="exact"/>
              <w:ind w:left="254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扣分</w:t>
            </w:r>
          </w:p>
        </w:tc>
        <w:tc>
          <w:tcPr>
            <w:tcW w:w="455" w:type="dxa"/>
            <w:noWrap w:val="0"/>
            <w:vAlign w:val="center"/>
          </w:tcPr>
          <w:p w14:paraId="28C3497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300" w:lineRule="exact"/>
              <w:ind w:left="193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备注</w:t>
            </w:r>
          </w:p>
        </w:tc>
      </w:tr>
      <w:tr w14:paraId="34CE7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0" w:type="auto"/>
            <w:noWrap w:val="0"/>
            <w:vAlign w:val="top"/>
          </w:tcPr>
          <w:p w14:paraId="68FEB4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300" w:lineRule="exact"/>
              <w:ind w:left="353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noWrap w:val="0"/>
            <w:vAlign w:val="top"/>
          </w:tcPr>
          <w:p w14:paraId="038DE0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C582A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2A8F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300" w:lineRule="exact"/>
              <w:ind w:left="159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保洁船只及人员、时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间（20分）</w:t>
            </w:r>
          </w:p>
        </w:tc>
        <w:tc>
          <w:tcPr>
            <w:tcW w:w="5396" w:type="dxa"/>
            <w:noWrap w:val="0"/>
            <w:vAlign w:val="top"/>
          </w:tcPr>
          <w:p w14:paraId="7A1C1F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300" w:lineRule="exact"/>
              <w:ind w:left="116" w:right="106" w:firstLine="8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每天有专人实施动态保洁，未按要求保洁的，每发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现一次扣4分；</w:t>
            </w:r>
          </w:p>
        </w:tc>
        <w:tc>
          <w:tcPr>
            <w:tcW w:w="512" w:type="dxa"/>
            <w:noWrap w:val="0"/>
            <w:vAlign w:val="top"/>
          </w:tcPr>
          <w:p w14:paraId="04E1E4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4BC4035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FF8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0" w:type="auto"/>
            <w:noWrap w:val="0"/>
            <w:vAlign w:val="top"/>
          </w:tcPr>
          <w:p w14:paraId="5AB663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00" w:lineRule="exact"/>
              <w:ind w:left="34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E29F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42F7DF1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300" w:lineRule="exact"/>
              <w:ind w:left="120" w:right="103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作业人员上船时必须穿戴救生衣，如发现未穿、未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配备对讲机，每次扣1分；</w:t>
            </w:r>
          </w:p>
        </w:tc>
        <w:tc>
          <w:tcPr>
            <w:tcW w:w="512" w:type="dxa"/>
            <w:noWrap w:val="0"/>
            <w:vAlign w:val="top"/>
          </w:tcPr>
          <w:p w14:paraId="0F03D95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3C6529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530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noWrap w:val="0"/>
            <w:vAlign w:val="top"/>
          </w:tcPr>
          <w:p w14:paraId="7ECF26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00" w:lineRule="exact"/>
              <w:ind w:left="341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D15D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0B28918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00" w:lineRule="exact"/>
              <w:ind w:left="119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严禁酒后上船作业，如发现一次扣8分；</w:t>
            </w:r>
          </w:p>
        </w:tc>
        <w:tc>
          <w:tcPr>
            <w:tcW w:w="512" w:type="dxa"/>
            <w:noWrap w:val="0"/>
            <w:vAlign w:val="top"/>
          </w:tcPr>
          <w:p w14:paraId="333B47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284FE3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470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0" w:type="auto"/>
            <w:noWrap w:val="0"/>
            <w:vAlign w:val="top"/>
          </w:tcPr>
          <w:p w14:paraId="2872D8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4" w:line="300" w:lineRule="exact"/>
              <w:ind w:left="336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438" w:type="dxa"/>
            <w:vMerge w:val="continue"/>
            <w:tcBorders>
              <w:top w:val="nil"/>
            </w:tcBorders>
            <w:noWrap w:val="0"/>
            <w:vAlign w:val="top"/>
          </w:tcPr>
          <w:p w14:paraId="4EE77E6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708132F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300" w:lineRule="exact"/>
              <w:ind w:left="120" w:right="106" w:hanging="2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保洁船、保洁人员的数量应符合投标文件拟派的数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量要求，如发现数量不符，发现一次扣2分。</w:t>
            </w:r>
          </w:p>
        </w:tc>
        <w:tc>
          <w:tcPr>
            <w:tcW w:w="512" w:type="dxa"/>
            <w:noWrap w:val="0"/>
            <w:vAlign w:val="top"/>
          </w:tcPr>
          <w:p w14:paraId="16DBCC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7B1EB8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32A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0" w:type="auto"/>
            <w:noWrap w:val="0"/>
            <w:vAlign w:val="top"/>
          </w:tcPr>
          <w:p w14:paraId="1589838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3" w:line="300" w:lineRule="exact"/>
              <w:ind w:left="341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noWrap w:val="0"/>
            <w:vAlign w:val="top"/>
          </w:tcPr>
          <w:p w14:paraId="06BAA6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B0B86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647540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C5A0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F4130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300" w:lineRule="exact"/>
              <w:ind w:left="159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保洁措施与实效（40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分）</w:t>
            </w:r>
          </w:p>
        </w:tc>
        <w:tc>
          <w:tcPr>
            <w:tcW w:w="5396" w:type="dxa"/>
            <w:noWrap w:val="0"/>
            <w:vAlign w:val="top"/>
          </w:tcPr>
          <w:p w14:paraId="4022A5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left="120" w:right="105" w:hanging="1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在非洪水影响期间，水面岸坡垃圾漂浮物不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可见，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成片垃圾漂浮物每发现一处扣2分（累加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）；</w:t>
            </w:r>
          </w:p>
        </w:tc>
        <w:tc>
          <w:tcPr>
            <w:tcW w:w="512" w:type="dxa"/>
            <w:noWrap w:val="0"/>
            <w:vAlign w:val="top"/>
          </w:tcPr>
          <w:p w14:paraId="245BFF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08AF90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006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0" w:type="auto"/>
            <w:noWrap w:val="0"/>
            <w:vAlign w:val="top"/>
          </w:tcPr>
          <w:p w14:paraId="656B89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9" w:line="300" w:lineRule="exact"/>
              <w:ind w:left="339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5913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235BE9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300" w:lineRule="exact"/>
              <w:ind w:left="116" w:right="103" w:firstLine="23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电站进水口（电站打捞垃圾）清运、电站进水口处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拦污栅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处及检修闸门孔每年一次清理、上岸垃圾和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动物死尸做到日产日清、定点倾倒，未及时清运的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每次扣8分；</w:t>
            </w:r>
          </w:p>
        </w:tc>
        <w:tc>
          <w:tcPr>
            <w:tcW w:w="512" w:type="dxa"/>
            <w:noWrap w:val="0"/>
            <w:vAlign w:val="top"/>
          </w:tcPr>
          <w:p w14:paraId="0152B3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070782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9A8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noWrap w:val="0"/>
            <w:vAlign w:val="top"/>
          </w:tcPr>
          <w:p w14:paraId="7A20FB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4" w:line="300" w:lineRule="exact"/>
              <w:ind w:left="342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4A560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1DA346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9" w:line="300" w:lineRule="exact"/>
              <w:ind w:left="129" w:right="106" w:hanging="1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1"/>
                <w:szCs w:val="21"/>
              </w:rPr>
              <w:t>垃圾运输车辆应符合环保部门要求，如不符合要求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的，每发现一次扣2分；</w:t>
            </w:r>
          </w:p>
        </w:tc>
        <w:tc>
          <w:tcPr>
            <w:tcW w:w="512" w:type="dxa"/>
            <w:noWrap w:val="0"/>
            <w:vAlign w:val="top"/>
          </w:tcPr>
          <w:p w14:paraId="6D7E93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280FABD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153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0" w:type="auto"/>
            <w:noWrap w:val="0"/>
            <w:vAlign w:val="top"/>
          </w:tcPr>
          <w:p w14:paraId="076774A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4" w:line="300" w:lineRule="exact"/>
              <w:ind w:left="338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6F76A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79FC3D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300" w:lineRule="exact"/>
              <w:ind w:left="115" w:right="113" w:firstLine="3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及时清除洪水过后亲水平台和护坡上的淤泥、垃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圾、杂草等，未及时清除的（3天内）每发现一处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扣2分；</w:t>
            </w:r>
          </w:p>
        </w:tc>
        <w:tc>
          <w:tcPr>
            <w:tcW w:w="512" w:type="dxa"/>
            <w:noWrap w:val="0"/>
            <w:vAlign w:val="top"/>
          </w:tcPr>
          <w:p w14:paraId="014DB7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698FBB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914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0" w:type="auto"/>
            <w:noWrap w:val="0"/>
            <w:vAlign w:val="top"/>
          </w:tcPr>
          <w:p w14:paraId="34DD0F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2" w:line="300" w:lineRule="exact"/>
              <w:ind w:left="338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438" w:type="dxa"/>
            <w:vMerge w:val="continue"/>
            <w:tcBorders>
              <w:top w:val="nil"/>
            </w:tcBorders>
            <w:noWrap w:val="0"/>
            <w:vAlign w:val="top"/>
          </w:tcPr>
          <w:p w14:paraId="13ADD28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15647B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300" w:lineRule="exact"/>
              <w:ind w:left="119" w:right="103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及时打捞动物死尸处并按指定地点堆放，检查发现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未打捞动物死尸一具扣8分（累加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），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检查每发现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一次未按指定地点堆放的扣1分。</w:t>
            </w:r>
          </w:p>
        </w:tc>
        <w:tc>
          <w:tcPr>
            <w:tcW w:w="512" w:type="dxa"/>
            <w:noWrap w:val="0"/>
            <w:vAlign w:val="top"/>
          </w:tcPr>
          <w:p w14:paraId="30B4E0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365676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51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0" w:type="auto"/>
            <w:noWrap w:val="0"/>
            <w:vAlign w:val="top"/>
          </w:tcPr>
          <w:p w14:paraId="511DEB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9" w:line="300" w:lineRule="exact"/>
              <w:ind w:left="3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10</w:t>
            </w:r>
          </w:p>
        </w:tc>
        <w:tc>
          <w:tcPr>
            <w:tcW w:w="1438" w:type="dxa"/>
            <w:vMerge w:val="restart"/>
            <w:tcBorders>
              <w:bottom w:val="nil"/>
            </w:tcBorders>
            <w:noWrap w:val="0"/>
            <w:vAlign w:val="top"/>
          </w:tcPr>
          <w:p w14:paraId="6C2F727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47009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651B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B9E26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line="300" w:lineRule="exact"/>
              <w:ind w:left="24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管理制度（10分）</w:t>
            </w:r>
          </w:p>
        </w:tc>
        <w:tc>
          <w:tcPr>
            <w:tcW w:w="5396" w:type="dxa"/>
            <w:noWrap w:val="0"/>
            <w:vAlign w:val="top"/>
          </w:tcPr>
          <w:p w14:paraId="06831F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00" w:lineRule="exact"/>
              <w:ind w:left="116" w:right="103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水面保洁责任制度落实到位，建立安全生产管理制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度，建立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eastAsia="zh-CN"/>
              </w:rPr>
              <w:t>管理台账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制度，项目负责人做好检查、巡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查及记录，确保日常工作正常开展。（2分）</w:t>
            </w:r>
          </w:p>
        </w:tc>
        <w:tc>
          <w:tcPr>
            <w:tcW w:w="512" w:type="dxa"/>
            <w:noWrap w:val="0"/>
            <w:vAlign w:val="top"/>
          </w:tcPr>
          <w:p w14:paraId="1FA305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1F09D1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324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0" w:type="auto"/>
            <w:noWrap w:val="0"/>
            <w:vAlign w:val="top"/>
          </w:tcPr>
          <w:p w14:paraId="3B2B839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3" w:line="300" w:lineRule="exact"/>
              <w:ind w:left="3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11</w:t>
            </w:r>
          </w:p>
        </w:tc>
        <w:tc>
          <w:tcPr>
            <w:tcW w:w="143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340A0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17EEB24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line="300" w:lineRule="exact"/>
              <w:ind w:left="118" w:right="45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保洁人员每日至管理单位考勤签到，并对每天打捞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的垃圾数量、垃圾分类登记清楚，建立月台账制度，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对动物死尸数量、重量实行日报制度，对其他垃圾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重量实行日报制度。（4分）</w:t>
            </w:r>
          </w:p>
        </w:tc>
        <w:tc>
          <w:tcPr>
            <w:tcW w:w="512" w:type="dxa"/>
            <w:noWrap w:val="0"/>
            <w:vAlign w:val="top"/>
          </w:tcPr>
          <w:p w14:paraId="7964173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4853F66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69C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0" w:type="auto"/>
            <w:noWrap w:val="0"/>
            <w:vAlign w:val="top"/>
          </w:tcPr>
          <w:p w14:paraId="205FC9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4" w:line="300" w:lineRule="exact"/>
              <w:ind w:left="3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12</w:t>
            </w:r>
          </w:p>
        </w:tc>
        <w:tc>
          <w:tcPr>
            <w:tcW w:w="1438" w:type="dxa"/>
            <w:vMerge w:val="continue"/>
            <w:tcBorders>
              <w:top w:val="nil"/>
            </w:tcBorders>
            <w:noWrap w:val="0"/>
            <w:vAlign w:val="top"/>
          </w:tcPr>
          <w:p w14:paraId="60AD8C4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96" w:type="dxa"/>
            <w:noWrap w:val="0"/>
            <w:vAlign w:val="top"/>
          </w:tcPr>
          <w:p w14:paraId="7B5C85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8" w:line="300" w:lineRule="exact"/>
              <w:ind w:left="119" w:right="96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无台账记录每项扣1分（台账包括保洁队伍组织、责任制度、安全生产制度、保洁台账、动物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死尸及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垃圾清运回执）。台账报送不及时扣1分，未按规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定落实的每项扣1分。（4分）</w:t>
            </w:r>
          </w:p>
        </w:tc>
        <w:tc>
          <w:tcPr>
            <w:tcW w:w="512" w:type="dxa"/>
            <w:noWrap w:val="0"/>
            <w:vAlign w:val="top"/>
          </w:tcPr>
          <w:p w14:paraId="620380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30DBAB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0246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7357" w:type="dxa"/>
            <w:gridSpan w:val="3"/>
            <w:noWrap w:val="0"/>
            <w:vAlign w:val="top"/>
          </w:tcPr>
          <w:p w14:paraId="7651AE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6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合计</w:t>
            </w:r>
          </w:p>
        </w:tc>
        <w:tc>
          <w:tcPr>
            <w:tcW w:w="512" w:type="dxa"/>
            <w:noWrap w:val="0"/>
            <w:vAlign w:val="top"/>
          </w:tcPr>
          <w:p w14:paraId="4162DB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5" w:type="dxa"/>
            <w:noWrap w:val="0"/>
            <w:vAlign w:val="top"/>
          </w:tcPr>
          <w:p w14:paraId="225AFF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25DDC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ind w:right="477" w:firstLine="428"/>
        <w:jc w:val="both"/>
        <w:textAlignment w:val="auto"/>
        <w:rPr>
          <w:rFonts w:hint="eastAsia" w:ascii="宋体" w:hAnsi="宋体" w:eastAsia="宋体" w:cs="宋体"/>
          <w:spacing w:val="6"/>
          <w:sz w:val="24"/>
          <w:szCs w:val="24"/>
        </w:rPr>
      </w:pPr>
    </w:p>
    <w:p w14:paraId="120BAE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ind w:right="477" w:firstLine="428"/>
        <w:jc w:val="both"/>
        <w:textAlignment w:val="auto"/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检查人员签字：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</w:t>
      </w:r>
    </w:p>
    <w:p w14:paraId="0A3AA9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ind w:right="477" w:firstLine="428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  <w:sectPr>
          <w:headerReference r:id="rId7" w:type="default"/>
          <w:footerReference r:id="rId8" w:type="default"/>
          <w:pgSz w:w="11921" w:h="16839"/>
          <w:pgMar w:top="1440" w:right="1800" w:bottom="1440" w:left="1800" w:header="1384" w:footer="948" w:gutter="0"/>
          <w:cols w:space="720" w:num="1"/>
        </w:sectPr>
      </w:pPr>
      <w:r>
        <w:rPr>
          <w:rFonts w:hint="eastAsia" w:ascii="宋体" w:hAnsi="宋体" w:eastAsia="宋体" w:cs="宋体"/>
          <w:spacing w:val="6"/>
          <w:sz w:val="24"/>
          <w:szCs w:val="24"/>
        </w:rPr>
        <w:t>时间：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 </w:t>
      </w:r>
    </w:p>
    <w:p w14:paraId="5197AE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hAnsi="黑体" w:eastAsia="黑体" w:cs="黑体"/>
          <w:spacing w:val="-12"/>
          <w:sz w:val="28"/>
          <w:szCs w:val="28"/>
        </w:rPr>
      </w:pPr>
    </w:p>
    <w:p w14:paraId="6B1B73C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hAnsi="黑体" w:eastAsia="黑体" w:cs="黑体"/>
          <w:spacing w:val="-12"/>
          <w:sz w:val="28"/>
          <w:szCs w:val="28"/>
        </w:rPr>
      </w:pPr>
      <w:r>
        <w:rPr>
          <w:rFonts w:hint="eastAsia" w:ascii="黑体" w:hAnsi="黑体" w:eastAsia="黑体" w:cs="黑体"/>
          <w:spacing w:val="-12"/>
          <w:sz w:val="28"/>
          <w:szCs w:val="28"/>
        </w:rPr>
        <w:t>季度考核表（30分）</w:t>
      </w:r>
    </w:p>
    <w:tbl>
      <w:tblPr>
        <w:tblStyle w:val="13"/>
        <w:tblpPr w:leftFromText="180" w:rightFromText="180" w:vertAnchor="text" w:horzAnchor="page" w:tblpX="1897" w:tblpY="134"/>
        <w:tblOverlap w:val="never"/>
        <w:tblW w:w="830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619"/>
        <w:gridCol w:w="4264"/>
        <w:gridCol w:w="502"/>
        <w:gridCol w:w="449"/>
      </w:tblGrid>
      <w:tr w14:paraId="16DCA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0" w:type="auto"/>
            <w:noWrap w:val="0"/>
            <w:vAlign w:val="center"/>
          </w:tcPr>
          <w:p w14:paraId="583B0F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00" w:lineRule="exact"/>
              <w:ind w:left="142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09E1D22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  <w:sz w:val="21"/>
                <w:szCs w:val="21"/>
              </w:rPr>
              <w:t>考核内容</w:t>
            </w:r>
          </w:p>
        </w:tc>
        <w:tc>
          <w:tcPr>
            <w:tcW w:w="0" w:type="auto"/>
            <w:noWrap w:val="0"/>
            <w:vAlign w:val="center"/>
          </w:tcPr>
          <w:p w14:paraId="1AC171E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1"/>
                <w:szCs w:val="21"/>
              </w:rPr>
              <w:t>细则</w:t>
            </w:r>
          </w:p>
        </w:tc>
        <w:tc>
          <w:tcPr>
            <w:tcW w:w="0" w:type="auto"/>
            <w:noWrap w:val="0"/>
            <w:vAlign w:val="center"/>
          </w:tcPr>
          <w:p w14:paraId="5DB3AF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00" w:lineRule="exact"/>
              <w:ind w:left="209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得分</w:t>
            </w:r>
          </w:p>
        </w:tc>
        <w:tc>
          <w:tcPr>
            <w:tcW w:w="0" w:type="auto"/>
            <w:noWrap w:val="0"/>
            <w:vAlign w:val="center"/>
          </w:tcPr>
          <w:p w14:paraId="65AD21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00" w:lineRule="exact"/>
              <w:ind w:left="156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sz w:val="21"/>
                <w:szCs w:val="21"/>
              </w:rPr>
              <w:t>备注</w:t>
            </w:r>
          </w:p>
        </w:tc>
      </w:tr>
      <w:tr w14:paraId="134FA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0" w:type="auto"/>
            <w:noWrap w:val="0"/>
            <w:vAlign w:val="center"/>
          </w:tcPr>
          <w:p w14:paraId="2B54C9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8" w:line="300" w:lineRule="exact"/>
              <w:ind w:left="309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712C0BF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8030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300" w:lineRule="exact"/>
              <w:ind w:left="479" w:right="484" w:firstLine="24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安全生产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（10分）</w:t>
            </w:r>
          </w:p>
        </w:tc>
        <w:tc>
          <w:tcPr>
            <w:tcW w:w="0" w:type="auto"/>
            <w:noWrap w:val="0"/>
            <w:vAlign w:val="center"/>
          </w:tcPr>
          <w:p w14:paraId="6723578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2" w:line="300" w:lineRule="exact"/>
              <w:ind w:left="119" w:right="141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保洁船只必须符合国家相关强制性规范，并悬挂醒目标志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未按规定要求的，每发现一次扣1分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；（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5分）</w:t>
            </w:r>
          </w:p>
        </w:tc>
        <w:tc>
          <w:tcPr>
            <w:tcW w:w="0" w:type="auto"/>
            <w:noWrap w:val="0"/>
            <w:vAlign w:val="top"/>
          </w:tcPr>
          <w:p w14:paraId="6E3F3A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085906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669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0" w:type="auto"/>
            <w:noWrap w:val="0"/>
            <w:vAlign w:val="center"/>
          </w:tcPr>
          <w:p w14:paraId="7B120D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2" w:line="300" w:lineRule="exact"/>
              <w:ind w:left="296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noWrap w:val="0"/>
            <w:vAlign w:val="center"/>
          </w:tcPr>
          <w:p w14:paraId="230E5E2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C3FC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300" w:lineRule="exact"/>
              <w:ind w:left="125" w:right="141" w:hanging="7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必须为从业人员投保人身意外伤害保险，未投保的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每发现一人扣1分。（5分）</w:t>
            </w:r>
          </w:p>
        </w:tc>
        <w:tc>
          <w:tcPr>
            <w:tcW w:w="0" w:type="auto"/>
            <w:noWrap w:val="0"/>
            <w:vAlign w:val="top"/>
          </w:tcPr>
          <w:p w14:paraId="6A8C95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4C9F9C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A57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 w14:paraId="4453DE9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4" w:line="300" w:lineRule="exact"/>
              <w:ind w:left="29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09D63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300" w:lineRule="exact"/>
              <w:ind w:left="479" w:right="484" w:firstLine="21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社会评价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（10分）</w:t>
            </w:r>
          </w:p>
        </w:tc>
        <w:tc>
          <w:tcPr>
            <w:tcW w:w="0" w:type="auto"/>
            <w:noWrap w:val="0"/>
            <w:vAlign w:val="center"/>
          </w:tcPr>
          <w:p w14:paraId="73F17E4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300" w:lineRule="exact"/>
              <w:ind w:left="125" w:right="85" w:hanging="1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发生上级领导批评、新闻媒体曝光或群众投诉举报查实的，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每次扣2分，接市政府督办单一次扣5分。（10分）</w:t>
            </w:r>
          </w:p>
        </w:tc>
        <w:tc>
          <w:tcPr>
            <w:tcW w:w="0" w:type="auto"/>
            <w:noWrap w:val="0"/>
            <w:vAlign w:val="top"/>
          </w:tcPr>
          <w:p w14:paraId="31E3B35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35C6D97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E3F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0" w:type="auto"/>
            <w:noWrap w:val="0"/>
            <w:vAlign w:val="center"/>
          </w:tcPr>
          <w:p w14:paraId="79FF24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9" w:line="300" w:lineRule="exact"/>
              <w:ind w:left="293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noWrap w:val="0"/>
            <w:vAlign w:val="center"/>
          </w:tcPr>
          <w:p w14:paraId="22A55D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FFC7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6" w:line="300" w:lineRule="exact"/>
              <w:ind w:left="186" w:right="21" w:hanging="69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应急管理（10分）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应急范围以管理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单位通知为准。</w:t>
            </w:r>
          </w:p>
        </w:tc>
        <w:tc>
          <w:tcPr>
            <w:tcW w:w="0" w:type="auto"/>
            <w:noWrap w:val="0"/>
            <w:vAlign w:val="center"/>
          </w:tcPr>
          <w:p w14:paraId="04A7FF4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300" w:lineRule="exact"/>
              <w:ind w:left="117" w:right="104" w:firstLine="3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遇重大活动或重要检查等特殊情况，服从安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排和调配，如不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服从上级统一安排或调配的，每次扣2分；</w:t>
            </w:r>
          </w:p>
        </w:tc>
        <w:tc>
          <w:tcPr>
            <w:tcW w:w="0" w:type="auto"/>
            <w:noWrap w:val="0"/>
            <w:vAlign w:val="top"/>
          </w:tcPr>
          <w:p w14:paraId="77DC39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66E693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91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noWrap w:val="0"/>
            <w:vAlign w:val="center"/>
          </w:tcPr>
          <w:p w14:paraId="29C2DA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00" w:lineRule="exact"/>
              <w:ind w:left="298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2BAEF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E930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2" w:line="300" w:lineRule="exact"/>
              <w:ind w:left="123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不服从现场指挥或调配的，每次扣2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10分；</w:t>
            </w:r>
          </w:p>
        </w:tc>
        <w:tc>
          <w:tcPr>
            <w:tcW w:w="0" w:type="auto"/>
            <w:noWrap w:val="0"/>
            <w:vAlign w:val="top"/>
          </w:tcPr>
          <w:p w14:paraId="24F779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noWrap w:val="0"/>
            <w:vAlign w:val="top"/>
          </w:tcPr>
          <w:p w14:paraId="058DC4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5CD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610B4EA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1" w:line="300" w:lineRule="exact"/>
              <w:ind w:left="295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42D412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center"/>
          </w:tcPr>
          <w:p w14:paraId="3328CF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300" w:lineRule="exact"/>
              <w:ind w:left="119" w:right="55" w:firstLine="1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人员到岗时间以应急要求为准，规定时间前（以通知为准）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未完成保洁的扣5分。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top"/>
          </w:tcPr>
          <w:p w14:paraId="4BE4DDA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 w:val="0"/>
            <w:vAlign w:val="top"/>
          </w:tcPr>
          <w:p w14:paraId="777AAD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F55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8A3F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4"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865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11BD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C96615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4" w:firstLineChars="200"/>
        <w:jc w:val="both"/>
        <w:textAlignment w:val="auto"/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管理单位每季度组织人员进行检查考核。季度考核的平均得分计入半年考核得分。本考核结果作为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pacing w:val="6"/>
          <w:sz w:val="24"/>
          <w:szCs w:val="24"/>
          <w:highlight w:val="none"/>
        </w:rPr>
        <w:t>结算半年度承包费用的依据。</w:t>
      </w:r>
    </w:p>
    <w:p w14:paraId="6EFED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ind w:right="477" w:firstLine="428"/>
        <w:jc w:val="both"/>
        <w:textAlignment w:val="auto"/>
        <w:rPr>
          <w:rFonts w:hint="eastAsia" w:ascii="宋体" w:hAnsi="宋体" w:eastAsia="宋体" w:cs="宋体"/>
          <w:spacing w:val="6"/>
          <w:sz w:val="24"/>
          <w:szCs w:val="24"/>
        </w:rPr>
      </w:pPr>
    </w:p>
    <w:p w14:paraId="1E1DF8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ind w:right="477" w:firstLine="428"/>
        <w:jc w:val="both"/>
        <w:textAlignment w:val="auto"/>
        <w:rPr>
          <w:rFonts w:hint="eastAsia" w:ascii="宋体" w:hAnsi="宋体" w:eastAsia="宋体" w:cs="宋体"/>
          <w:spacing w:val="6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检查人员签字：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</w:t>
      </w:r>
    </w:p>
    <w:p w14:paraId="009BEF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300" w:lineRule="exact"/>
        <w:ind w:right="477" w:firstLine="428"/>
        <w:jc w:val="both"/>
        <w:textAlignment w:val="auto"/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>时间：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6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6"/>
          <w:sz w:val="24"/>
          <w:szCs w:val="24"/>
        </w:rPr>
        <w:t>日</w:t>
      </w:r>
      <w:bookmarkStart w:id="0" w:name="_GoBack"/>
      <w:bookmarkEnd w:id="0"/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BCCE3">
    <w:pPr>
      <w:pStyle w:val="2"/>
      <w:spacing w:line="175" w:lineRule="auto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BD629">
    <w:pPr>
      <w:pStyle w:val="2"/>
      <w:spacing w:line="175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7FD1E">
    <w:pPr>
      <w:pStyle w:val="2"/>
      <w:spacing w:line="175" w:lineRule="auto"/>
      <w:rPr>
        <w:rFonts w:hint="eastAsia" w:eastAsia="仿宋"/>
        <w:sz w:val="18"/>
        <w:szCs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A2782">
    <w:pPr>
      <w:pStyle w:val="2"/>
      <w:spacing w:line="175" w:lineRule="auto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0E6D1">
    <w:pPr>
      <w:spacing w:line="14" w:lineRule="auto"/>
      <w:rPr>
        <w:rFonts w:ascii="Noto Sans CJK SC Regular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59B63">
    <w:pPr>
      <w:pStyle w:val="2"/>
      <w:spacing w:before="83" w:line="160" w:lineRule="auto"/>
      <w:ind w:left="62"/>
      <w:rPr>
        <w:sz w:val="31"/>
        <w:szCs w:val="3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3BA2">
    <w:pPr>
      <w:pStyle w:val="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252CA">
    <w:pPr>
      <w:spacing w:line="14" w:lineRule="auto"/>
      <w:rPr>
        <w:rFonts w:ascii="Noto Sans CJK SC Regular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2A033"/>
    <w:multiLevelType w:val="singleLevel"/>
    <w:tmpl w:val="9BF2A03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DBED612"/>
    <w:multiLevelType w:val="singleLevel"/>
    <w:tmpl w:val="EDBED61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6738220"/>
    <w:multiLevelType w:val="singleLevel"/>
    <w:tmpl w:val="F673822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A34C57C"/>
    <w:multiLevelType w:val="singleLevel"/>
    <w:tmpl w:val="FA34C5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FE7E3331"/>
    <w:multiLevelType w:val="singleLevel"/>
    <w:tmpl w:val="FE7E333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EFA73D1"/>
    <w:multiLevelType w:val="singleLevel"/>
    <w:tmpl w:val="FEFA73D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FFBEED4D"/>
    <w:multiLevelType w:val="singleLevel"/>
    <w:tmpl w:val="FFBEED4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685C"/>
    <w:rsid w:val="0C4DC94F"/>
    <w:rsid w:val="0F1CDCFE"/>
    <w:rsid w:val="13FB441A"/>
    <w:rsid w:val="16FA050D"/>
    <w:rsid w:val="1BFF2E26"/>
    <w:rsid w:val="1D5AD8ED"/>
    <w:rsid w:val="1DBF989E"/>
    <w:rsid w:val="1DD64C7D"/>
    <w:rsid w:val="1E7F4F51"/>
    <w:rsid w:val="1FBD48FE"/>
    <w:rsid w:val="1FCD4F4B"/>
    <w:rsid w:val="1FE36157"/>
    <w:rsid w:val="233F82EA"/>
    <w:rsid w:val="27FD02D1"/>
    <w:rsid w:val="27FD44B7"/>
    <w:rsid w:val="28EF941A"/>
    <w:rsid w:val="2BDE3ED3"/>
    <w:rsid w:val="2EE95AF6"/>
    <w:rsid w:val="2EED8F2C"/>
    <w:rsid w:val="2FE3CB53"/>
    <w:rsid w:val="350F4462"/>
    <w:rsid w:val="36EE0D72"/>
    <w:rsid w:val="37418919"/>
    <w:rsid w:val="37512EF4"/>
    <w:rsid w:val="37B5F193"/>
    <w:rsid w:val="37DD10BB"/>
    <w:rsid w:val="39BF79F7"/>
    <w:rsid w:val="3AEF0D25"/>
    <w:rsid w:val="3AF58E0D"/>
    <w:rsid w:val="3B7D583C"/>
    <w:rsid w:val="3B9D8761"/>
    <w:rsid w:val="3BBD753E"/>
    <w:rsid w:val="3BF2F901"/>
    <w:rsid w:val="3BF5DB21"/>
    <w:rsid w:val="3C551F6E"/>
    <w:rsid w:val="3D57C16D"/>
    <w:rsid w:val="3EFF125B"/>
    <w:rsid w:val="3FA95A89"/>
    <w:rsid w:val="3FAED930"/>
    <w:rsid w:val="3FE5FE9D"/>
    <w:rsid w:val="3FEB39E1"/>
    <w:rsid w:val="3FF6FCB3"/>
    <w:rsid w:val="4576F536"/>
    <w:rsid w:val="49F727A1"/>
    <w:rsid w:val="4FFB2E2F"/>
    <w:rsid w:val="4FFB3030"/>
    <w:rsid w:val="509A43A4"/>
    <w:rsid w:val="50AEFFED"/>
    <w:rsid w:val="519F9AD6"/>
    <w:rsid w:val="51BB9B48"/>
    <w:rsid w:val="53FB7769"/>
    <w:rsid w:val="56FBE388"/>
    <w:rsid w:val="57FE2C43"/>
    <w:rsid w:val="59DE4FB2"/>
    <w:rsid w:val="5E36A61A"/>
    <w:rsid w:val="5EBF1D8E"/>
    <w:rsid w:val="5EDFADC7"/>
    <w:rsid w:val="5F3F9336"/>
    <w:rsid w:val="5F73CA31"/>
    <w:rsid w:val="5FEF1FC0"/>
    <w:rsid w:val="5FFF3E5A"/>
    <w:rsid w:val="657778CD"/>
    <w:rsid w:val="65E71AF2"/>
    <w:rsid w:val="677FE1B6"/>
    <w:rsid w:val="67DD8B54"/>
    <w:rsid w:val="68D7BBA9"/>
    <w:rsid w:val="69FEEFDE"/>
    <w:rsid w:val="6AD7EAE6"/>
    <w:rsid w:val="6B7C3B4D"/>
    <w:rsid w:val="6BF35A69"/>
    <w:rsid w:val="6BF97A65"/>
    <w:rsid w:val="6C7B7563"/>
    <w:rsid w:val="6CF779F0"/>
    <w:rsid w:val="6D7D5F9E"/>
    <w:rsid w:val="6DF87B98"/>
    <w:rsid w:val="6E97D55E"/>
    <w:rsid w:val="6EFF82B0"/>
    <w:rsid w:val="6F56305C"/>
    <w:rsid w:val="6FB50D08"/>
    <w:rsid w:val="6FBF1280"/>
    <w:rsid w:val="6FE73426"/>
    <w:rsid w:val="6FF789B3"/>
    <w:rsid w:val="6FF978B1"/>
    <w:rsid w:val="6FF9D484"/>
    <w:rsid w:val="6FFC005E"/>
    <w:rsid w:val="6FFF1DE7"/>
    <w:rsid w:val="71DD5BD8"/>
    <w:rsid w:val="72FF5417"/>
    <w:rsid w:val="735E98EE"/>
    <w:rsid w:val="737F192F"/>
    <w:rsid w:val="73BFABE0"/>
    <w:rsid w:val="73F7E613"/>
    <w:rsid w:val="741F3788"/>
    <w:rsid w:val="757DE4F0"/>
    <w:rsid w:val="75EDAE03"/>
    <w:rsid w:val="75EFD58B"/>
    <w:rsid w:val="75FE7837"/>
    <w:rsid w:val="75FFEEAC"/>
    <w:rsid w:val="767D527B"/>
    <w:rsid w:val="76EBCF25"/>
    <w:rsid w:val="76FB12E8"/>
    <w:rsid w:val="7795B5E2"/>
    <w:rsid w:val="77DE7AAD"/>
    <w:rsid w:val="77E63E17"/>
    <w:rsid w:val="77FDECB5"/>
    <w:rsid w:val="77FE0DB0"/>
    <w:rsid w:val="77FE4626"/>
    <w:rsid w:val="77FF035F"/>
    <w:rsid w:val="77FF62ED"/>
    <w:rsid w:val="79C30D7E"/>
    <w:rsid w:val="79EFBC35"/>
    <w:rsid w:val="7AC69EB0"/>
    <w:rsid w:val="7B5961C4"/>
    <w:rsid w:val="7BBDF6D4"/>
    <w:rsid w:val="7BDF0391"/>
    <w:rsid w:val="7BF56774"/>
    <w:rsid w:val="7BF71D29"/>
    <w:rsid w:val="7D2D9107"/>
    <w:rsid w:val="7D758E3A"/>
    <w:rsid w:val="7E7DE5DB"/>
    <w:rsid w:val="7E9B922F"/>
    <w:rsid w:val="7EB4A889"/>
    <w:rsid w:val="7ECFDA96"/>
    <w:rsid w:val="7EDFF5DD"/>
    <w:rsid w:val="7F0D5C8D"/>
    <w:rsid w:val="7F48D88F"/>
    <w:rsid w:val="7F74FB2F"/>
    <w:rsid w:val="7F765CC4"/>
    <w:rsid w:val="7F7FD195"/>
    <w:rsid w:val="7F8D31DC"/>
    <w:rsid w:val="7FB5F5AF"/>
    <w:rsid w:val="7FBD31B1"/>
    <w:rsid w:val="7FBEB2AF"/>
    <w:rsid w:val="7FBF7780"/>
    <w:rsid w:val="7FBFB275"/>
    <w:rsid w:val="7FE53582"/>
    <w:rsid w:val="7FEFD0B9"/>
    <w:rsid w:val="7FF5C448"/>
    <w:rsid w:val="7FFB710F"/>
    <w:rsid w:val="7FFDDF75"/>
    <w:rsid w:val="7FFE0846"/>
    <w:rsid w:val="7FFF302F"/>
    <w:rsid w:val="7FFF9BD8"/>
    <w:rsid w:val="8B2F12F1"/>
    <w:rsid w:val="8FF811C5"/>
    <w:rsid w:val="9E3F5C45"/>
    <w:rsid w:val="9F3BA5DC"/>
    <w:rsid w:val="9F9BD7EC"/>
    <w:rsid w:val="9FDE67D3"/>
    <w:rsid w:val="9FF61D9F"/>
    <w:rsid w:val="A5EF997A"/>
    <w:rsid w:val="AD5F1A9C"/>
    <w:rsid w:val="ADFFAF5C"/>
    <w:rsid w:val="AEF7D2AF"/>
    <w:rsid w:val="B3A5CC15"/>
    <w:rsid w:val="B5FE597B"/>
    <w:rsid w:val="B7971204"/>
    <w:rsid w:val="B7BDB521"/>
    <w:rsid w:val="B7CDA3C3"/>
    <w:rsid w:val="B7FDC0D7"/>
    <w:rsid w:val="B9DD3FB2"/>
    <w:rsid w:val="B9FDBCF8"/>
    <w:rsid w:val="BB4D0182"/>
    <w:rsid w:val="BB7F5BC1"/>
    <w:rsid w:val="BBBC8F03"/>
    <w:rsid w:val="BBBE93F0"/>
    <w:rsid w:val="BBFB958E"/>
    <w:rsid w:val="BDDFBA39"/>
    <w:rsid w:val="BE4A04BC"/>
    <w:rsid w:val="BEEFE89B"/>
    <w:rsid w:val="BEF7B6BC"/>
    <w:rsid w:val="BF1F67BA"/>
    <w:rsid w:val="BFBF4970"/>
    <w:rsid w:val="BFBF5F8F"/>
    <w:rsid w:val="BFF417D5"/>
    <w:rsid w:val="BFFE4448"/>
    <w:rsid w:val="BFFF8B47"/>
    <w:rsid w:val="C81D63B8"/>
    <w:rsid w:val="CBBB58EC"/>
    <w:rsid w:val="CD3E9E7B"/>
    <w:rsid w:val="CDBFEDB5"/>
    <w:rsid w:val="CDDFC647"/>
    <w:rsid w:val="CDEF4C7C"/>
    <w:rsid w:val="CDFDA585"/>
    <w:rsid w:val="CEF97D93"/>
    <w:rsid w:val="CFB3CBBA"/>
    <w:rsid w:val="CFF3131F"/>
    <w:rsid w:val="D3D5B1B2"/>
    <w:rsid w:val="D3F376EF"/>
    <w:rsid w:val="D547876E"/>
    <w:rsid w:val="D6F7FCBF"/>
    <w:rsid w:val="D6FBD525"/>
    <w:rsid w:val="D77AA82D"/>
    <w:rsid w:val="D7FF9F4C"/>
    <w:rsid w:val="DA5F4CF2"/>
    <w:rsid w:val="DA9B5073"/>
    <w:rsid w:val="DAFFD103"/>
    <w:rsid w:val="DBB74944"/>
    <w:rsid w:val="DBBFE2AA"/>
    <w:rsid w:val="DDB6A63A"/>
    <w:rsid w:val="DDBCB0DE"/>
    <w:rsid w:val="DDFF1BAA"/>
    <w:rsid w:val="DE7E8718"/>
    <w:rsid w:val="DED9BAB9"/>
    <w:rsid w:val="DEDFA504"/>
    <w:rsid w:val="DEDFE70B"/>
    <w:rsid w:val="DEF64673"/>
    <w:rsid w:val="DF3FEB0A"/>
    <w:rsid w:val="DF6DE61A"/>
    <w:rsid w:val="DFBD0A33"/>
    <w:rsid w:val="DFBEEA0B"/>
    <w:rsid w:val="DFD70AF8"/>
    <w:rsid w:val="DFFB01D9"/>
    <w:rsid w:val="E15F03D2"/>
    <w:rsid w:val="E27F4A62"/>
    <w:rsid w:val="E3CE9AFA"/>
    <w:rsid w:val="E6774F49"/>
    <w:rsid w:val="E7FF1C60"/>
    <w:rsid w:val="E7FFED75"/>
    <w:rsid w:val="E82DB245"/>
    <w:rsid w:val="E9A6FA5C"/>
    <w:rsid w:val="EA7FE8FF"/>
    <w:rsid w:val="EA972BF2"/>
    <w:rsid w:val="EAC9ABA4"/>
    <w:rsid w:val="EAEBC4DC"/>
    <w:rsid w:val="EBEF8CE3"/>
    <w:rsid w:val="EBF43822"/>
    <w:rsid w:val="EBFF28E2"/>
    <w:rsid w:val="ED5F75B4"/>
    <w:rsid w:val="EDABC496"/>
    <w:rsid w:val="EDF8D1D8"/>
    <w:rsid w:val="EDFFE0EC"/>
    <w:rsid w:val="EE3B4202"/>
    <w:rsid w:val="EEF9656E"/>
    <w:rsid w:val="EF1AC9B8"/>
    <w:rsid w:val="EF8F302F"/>
    <w:rsid w:val="EFB0E529"/>
    <w:rsid w:val="EFB4F911"/>
    <w:rsid w:val="EFBE9A32"/>
    <w:rsid w:val="EFDDE07B"/>
    <w:rsid w:val="EFF78974"/>
    <w:rsid w:val="F19E313F"/>
    <w:rsid w:val="F3097A78"/>
    <w:rsid w:val="F3EE9459"/>
    <w:rsid w:val="F3F36E0D"/>
    <w:rsid w:val="F3FFCBE7"/>
    <w:rsid w:val="F4F1296C"/>
    <w:rsid w:val="F5DFB562"/>
    <w:rsid w:val="F5FDF767"/>
    <w:rsid w:val="F6FDB024"/>
    <w:rsid w:val="F75377CA"/>
    <w:rsid w:val="F7AF31A2"/>
    <w:rsid w:val="F7C328FF"/>
    <w:rsid w:val="F7FFE332"/>
    <w:rsid w:val="F9DED50A"/>
    <w:rsid w:val="FA5F567D"/>
    <w:rsid w:val="FAFEF60B"/>
    <w:rsid w:val="FB2EB692"/>
    <w:rsid w:val="FB6F9FB6"/>
    <w:rsid w:val="FC0F6384"/>
    <w:rsid w:val="FCB79A0D"/>
    <w:rsid w:val="FCC7B1D3"/>
    <w:rsid w:val="FD652EFE"/>
    <w:rsid w:val="FD6F66FE"/>
    <w:rsid w:val="FDD7D3C8"/>
    <w:rsid w:val="FDF7A1D8"/>
    <w:rsid w:val="FDF97667"/>
    <w:rsid w:val="FDFF482A"/>
    <w:rsid w:val="FDFFE2B2"/>
    <w:rsid w:val="FE36FCC3"/>
    <w:rsid w:val="FE7B402F"/>
    <w:rsid w:val="FEAA20ED"/>
    <w:rsid w:val="FED63AFE"/>
    <w:rsid w:val="FEE7CBD2"/>
    <w:rsid w:val="FEEBC5BE"/>
    <w:rsid w:val="FEF75F41"/>
    <w:rsid w:val="FF0DD29E"/>
    <w:rsid w:val="FF13F019"/>
    <w:rsid w:val="FF3B29E2"/>
    <w:rsid w:val="FF4F9734"/>
    <w:rsid w:val="FF572AB0"/>
    <w:rsid w:val="FF772F88"/>
    <w:rsid w:val="FF7BFF1D"/>
    <w:rsid w:val="FF7DBC6E"/>
    <w:rsid w:val="FF7E3A93"/>
    <w:rsid w:val="FFAD72BD"/>
    <w:rsid w:val="FFBA15B6"/>
    <w:rsid w:val="FFBBD768"/>
    <w:rsid w:val="FFBF2FBB"/>
    <w:rsid w:val="FFE98E71"/>
    <w:rsid w:val="FFED143A"/>
    <w:rsid w:val="FFEDB913"/>
    <w:rsid w:val="FFF7D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paragraph" w:styleId="4">
    <w:name w:val="toc 5"/>
    <w:basedOn w:val="1"/>
    <w:next w:val="1"/>
    <w:semiHidden/>
    <w:qFormat/>
    <w:uiPriority w:val="99"/>
    <w:rPr>
      <w:rFonts w:ascii="Times New Roman" w:hAnsi="Times New Roman" w:cs="Times New Roman"/>
      <w:sz w:val="24"/>
      <w:szCs w:val="24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2654</Words>
  <Characters>2694</Characters>
  <Lines>0</Lines>
  <Paragraphs>0</Paragraphs>
  <TotalTime>212</TotalTime>
  <ScaleCrop>false</ScaleCrop>
  <LinksUpToDate>false</LinksUpToDate>
  <CharactersWithSpaces>2762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2026-01-20T00:39:00Z</dcterms:created>
  <dc:creator>admmin</dc:creator>
  <cp:lastModifiedBy>吴泫锐</cp:lastModifiedBy>
  <cp:lastPrinted>2026-05-27T16:38:00Z</cp:lastPrinted>
  <dcterms:modified xsi:type="dcterms:W3CDTF">2026-05-29T07:56:19Z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A4E4863C6A8B482BAE9E4821FF1E4CAE_13</vt:lpwstr>
  </property>
  <property fmtid="{D5CDD505-2E9C-101B-9397-08002B2CF9AE}" pid="4" name="KSOTemplateDocerSaveRecord">
    <vt:lpwstr>eyJoZGlkIjoiOTU5ZjFhM2E2MWE2MWViYzhkMzRlNmY2OTlkM2EzZGYiLCJ1c2VySWQiOiIxNTYyMDc1ODQ4In0=</vt:lpwstr>
  </property>
</Properties>
</file>